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9F72A9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E1D03" w:rsidRDefault="009E1D03" w:rsidP="009E1D0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DF4DF2" w:rsidRDefault="009F72A9" w:rsidP="00826A3D">
      <w:pPr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681890" w:rsidRDefault="00681890" w:rsidP="00220DFE">
      <w:pPr>
        <w:jc w:val="center"/>
        <w:rPr>
          <w:rFonts w:ascii="Arial" w:hAnsi="Arial" w:cs="Arial"/>
          <w:sz w:val="20"/>
          <w:szCs w:val="20"/>
        </w:rPr>
      </w:pPr>
    </w:p>
    <w:p w:rsidR="00DF4DF2" w:rsidRPr="00DF4DF2" w:rsidRDefault="00DF4DF2" w:rsidP="009F72A9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DF4DF2" w:rsidRPr="00014122" w:rsidRDefault="00014122" w:rsidP="00DF4DF2">
      <w:pPr>
        <w:spacing w:after="0"/>
        <w:rPr>
          <w:rFonts w:ascii="Arial" w:hAnsi="Arial" w:cs="Arial"/>
          <w:sz w:val="28"/>
          <w:szCs w:val="28"/>
        </w:rPr>
      </w:pPr>
      <w:r w:rsidRPr="00014122">
        <w:rPr>
          <w:rFonts w:ascii="Arial" w:hAnsi="Arial" w:cs="Arial"/>
          <w:sz w:val="28"/>
          <w:szCs w:val="28"/>
        </w:rPr>
        <w:t xml:space="preserve">Ministerstwo Sprawiedliwości </w:t>
      </w:r>
    </w:p>
    <w:p w:rsidR="009F72A9" w:rsidRPr="00DF4DF2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014122" w:rsidRPr="00014122" w:rsidRDefault="00014122" w:rsidP="00DF4DF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14122">
        <w:rPr>
          <w:rFonts w:ascii="Arial" w:hAnsi="Arial" w:cs="Arial"/>
          <w:i/>
          <w:sz w:val="24"/>
          <w:szCs w:val="24"/>
        </w:rPr>
        <w:t xml:space="preserve">„Prowadzenie mediacji sądowych i pozasądowych w sprawach </w:t>
      </w:r>
      <w:r w:rsidR="00036AD8">
        <w:rPr>
          <w:rFonts w:ascii="Arial" w:hAnsi="Arial" w:cs="Arial"/>
          <w:i/>
          <w:sz w:val="24"/>
          <w:szCs w:val="24"/>
        </w:rPr>
        <w:t>cywilnych</w:t>
      </w:r>
      <w:r w:rsidRPr="00014122">
        <w:rPr>
          <w:rFonts w:ascii="Arial" w:hAnsi="Arial" w:cs="Arial"/>
          <w:i/>
          <w:sz w:val="24"/>
          <w:szCs w:val="24"/>
        </w:rPr>
        <w:t>”</w:t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(tylko w </w:t>
            </w:r>
            <w:r w:rsidR="00BB01BC">
              <w:rPr>
                <w:rFonts w:ascii="Arial" w:hAnsi="Arial" w:cs="Arial"/>
                <w:sz w:val="18"/>
                <w:szCs w:val="20"/>
              </w:rPr>
              <w:t>w</w:t>
            </w:r>
            <w:r w:rsidRPr="00AC7476">
              <w:rPr>
                <w:rFonts w:ascii="Arial" w:hAnsi="Arial" w:cs="Arial"/>
                <w:sz w:val="18"/>
                <w:szCs w:val="20"/>
              </w:rPr>
              <w:t>ypadku instytucji/organizacji)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26A3D" w:rsidRPr="00102F7E" w:rsidRDefault="00826A3D" w:rsidP="00826A3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826A3D" w:rsidRDefault="00826A3D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826A3D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A3D">
        <w:rPr>
          <w:rFonts w:ascii="Arial" w:hAnsi="Arial" w:cs="Arial"/>
          <w:sz w:val="20"/>
          <w:szCs w:val="20"/>
        </w:rPr>
        <w:t xml:space="preserve"> </w:t>
      </w: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93364B">
        <w:trPr>
          <w:trHeight w:val="740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1.</w:t>
            </w:r>
          </w:p>
        </w:tc>
        <w:tc>
          <w:tcPr>
            <w:tcW w:w="6941" w:type="dxa"/>
          </w:tcPr>
          <w:p w:rsidR="00025317" w:rsidRPr="000E23D2" w:rsidRDefault="00D72D07" w:rsidP="0073304F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sz w:val="20"/>
                <w:szCs w:val="20"/>
              </w:rPr>
              <w:t>Nazwa kwalifikacji:</w:t>
            </w:r>
            <w:r w:rsidRPr="000E23D2">
              <w:rPr>
                <w:rFonts w:cstheme="minorHAnsi"/>
                <w:sz w:val="20"/>
                <w:szCs w:val="20"/>
              </w:rPr>
              <w:t xml:space="preserve"> </w:t>
            </w:r>
            <w:r w:rsidR="00F220F9" w:rsidRPr="000E23D2">
              <w:rPr>
                <w:rFonts w:cstheme="minorHAnsi"/>
                <w:sz w:val="20"/>
                <w:szCs w:val="20"/>
              </w:rPr>
              <w:t>Prowadzenie mediacji sądowych i pozasądowych w sprawach cywilnych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552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2.</w:t>
            </w:r>
          </w:p>
        </w:tc>
        <w:tc>
          <w:tcPr>
            <w:tcW w:w="6941" w:type="dxa"/>
          </w:tcPr>
          <w:p w:rsidR="00025317" w:rsidRPr="000E23D2" w:rsidRDefault="00F220F9" w:rsidP="00F220F9">
            <w:pPr>
              <w:rPr>
                <w:rFonts w:cstheme="minorHAnsi"/>
                <w:bCs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>Proponowany poziom Polskiej Ramy Kwalifikacji:</w:t>
            </w:r>
            <w:r w:rsidRPr="000E23D2">
              <w:rPr>
                <w:rFonts w:cstheme="minorHAnsi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2268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3.</w:t>
            </w:r>
          </w:p>
        </w:tc>
        <w:tc>
          <w:tcPr>
            <w:tcW w:w="6941" w:type="dxa"/>
          </w:tcPr>
          <w:p w:rsidR="00F220F9" w:rsidRPr="000E23D2" w:rsidRDefault="00F220F9" w:rsidP="00F2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b/>
                <w:bCs/>
                <w:sz w:val="20"/>
                <w:szCs w:val="20"/>
              </w:rPr>
              <w:t xml:space="preserve">Krótka charakterystyka kwalifikacji oraz orientacyjny koszt uzyskania dokumentu potwierdzającego otrzymanie danej kwalifikacji: </w:t>
            </w:r>
            <w:r w:rsidRPr="000E23D2">
              <w:rPr>
                <w:rFonts w:cstheme="minorHAnsi"/>
                <w:sz w:val="20"/>
                <w:szCs w:val="20"/>
              </w:rPr>
              <w:t xml:space="preserve">Osoba posiadająca kwalifikację Prowadzenie mediacji sądowych i pozasądowych w sprawach cywilnych jest gotowa do samodzielnego planowania </w:t>
            </w:r>
            <w:r w:rsidR="0093364B">
              <w:rPr>
                <w:rFonts w:cstheme="minorHAnsi"/>
                <w:sz w:val="20"/>
                <w:szCs w:val="20"/>
              </w:rPr>
              <w:br/>
            </w:r>
            <w:r w:rsidRPr="000E23D2">
              <w:rPr>
                <w:rFonts w:cstheme="minorHAnsi"/>
                <w:sz w:val="20"/>
                <w:szCs w:val="20"/>
              </w:rPr>
              <w:t>i przeprowadzania pełnego procesu mediacji w sprawach cywilnych zarówno w postępowaniach sądowych, jak i pozasądowych.</w:t>
            </w:r>
          </w:p>
          <w:p w:rsidR="000E23D2" w:rsidRDefault="00F220F9" w:rsidP="00F2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sz w:val="20"/>
                <w:szCs w:val="20"/>
              </w:rPr>
              <w:t xml:space="preserve">Dokonuje analizy konfliktu, rozpoznaje przedmiot sporu oraz stanowiska </w:t>
            </w:r>
            <w:r w:rsidR="0093364B">
              <w:rPr>
                <w:rFonts w:cstheme="minorHAnsi"/>
                <w:sz w:val="20"/>
                <w:szCs w:val="20"/>
              </w:rPr>
              <w:br/>
            </w:r>
            <w:r w:rsidRPr="000E23D2">
              <w:rPr>
                <w:rFonts w:cstheme="minorHAnsi"/>
                <w:sz w:val="20"/>
                <w:szCs w:val="20"/>
              </w:rPr>
              <w:t>i oczekiwania stron. Na podstawie analizy, ocenia czy nie ma przeciwskazań do zastosowania mediacji. Jest przygotowana do motywowania i wspierania stron w poszukiwaniu rozwiązań sprzyjających rozwiązywaniu konfliktów. Stosując techniki zarządzania emoc</w:t>
            </w:r>
            <w:r w:rsidR="000E23D2">
              <w:rPr>
                <w:rFonts w:cstheme="minorHAnsi"/>
                <w:sz w:val="20"/>
                <w:szCs w:val="20"/>
              </w:rPr>
              <w:t xml:space="preserve">jami oraz techniki negocjacyjne </w:t>
            </w:r>
            <w:r w:rsidRPr="000E23D2">
              <w:rPr>
                <w:rFonts w:cstheme="minorHAnsi"/>
                <w:sz w:val="20"/>
                <w:szCs w:val="20"/>
              </w:rPr>
              <w:t>prowadzi strony do uzyskania porozumienia. Sporządza dokumenty niezbędne w procesie mediacji (umowę o przeprowadzenie mediacji, protokół z posiedzenia mediacyjnego). Wspiera strony w procesie kształtowania finalnej ugody mediacy</w:t>
            </w:r>
            <w:r w:rsidR="000E23D2">
              <w:rPr>
                <w:rFonts w:cstheme="minorHAnsi"/>
                <w:sz w:val="20"/>
                <w:szCs w:val="20"/>
              </w:rPr>
              <w:t xml:space="preserve">jnej. Potrafi dostrzec elementy </w:t>
            </w:r>
            <w:r w:rsidRPr="000E23D2">
              <w:rPr>
                <w:rFonts w:cstheme="minorHAnsi"/>
                <w:sz w:val="20"/>
                <w:szCs w:val="20"/>
              </w:rPr>
              <w:t>umożliwiające wykonanie porozumienia. Posługuje się podstawową nomenklaturą z zakresu prawa cywilnego (zobowiązany, sprzedaż, zadatek, dostawa,</w:t>
            </w:r>
            <w:r w:rsidR="000E23D2">
              <w:rPr>
                <w:rFonts w:cstheme="minorHAnsi"/>
                <w:sz w:val="20"/>
                <w:szCs w:val="20"/>
              </w:rPr>
              <w:t xml:space="preserve"> spadek, wstępny, zstępny itp.) </w:t>
            </w:r>
            <w:r w:rsidRPr="000E23D2">
              <w:rPr>
                <w:rFonts w:cstheme="minorHAnsi"/>
                <w:sz w:val="20"/>
                <w:szCs w:val="20"/>
              </w:rPr>
              <w:t xml:space="preserve">umożliwiającą zrozumienie problemu zgłaszanego przez strony mediacji. </w:t>
            </w:r>
          </w:p>
          <w:p w:rsidR="00F220F9" w:rsidRPr="000E23D2" w:rsidRDefault="00F220F9" w:rsidP="00F2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sz w:val="20"/>
                <w:szCs w:val="20"/>
              </w:rPr>
              <w:t xml:space="preserve">Aktualizuje swoją wiedzę z zakresu mediacji oraz zastosowania podstaw prawnych związanych z procedurą mediacji (w tym w szczególności w kontekście regulacji postępowania mediacyjnego w Kodeksie postępowania cywilnego). Osoba posiadająca kwalifikację może znaleźć zatrudnienie w instytucjach oraz podmiotach, w których istotne są kompetencje z zakresu prowadzenia mediacji oraz sztuki rozwiązywania konfliktów m.in.: ośrodkach mediacyjnych, kancelariach prawnych, firmach windykacyjnych, bankach, miejskich ośrodkach pomocy, organizacjach pozarządowych zajmującymi się rozstrzyganiem sporów i pomocy konkretnym grupom </w:t>
            </w:r>
            <w:r w:rsidRPr="000E23D2">
              <w:rPr>
                <w:rFonts w:cstheme="minorHAnsi"/>
                <w:sz w:val="20"/>
                <w:szCs w:val="20"/>
              </w:rPr>
              <w:lastRenderedPageBreak/>
              <w:t>osób. Osoba posiadająca kwalifikację może również prowadzić własną działalność gospodarczą lub świadczyć usługi na zlecenie w zakresie mediacji oraz uzyskać wpis na listę Stałych Mediatorów prowadzoną przez</w:t>
            </w:r>
          </w:p>
          <w:p w:rsidR="00F220F9" w:rsidRPr="000E23D2" w:rsidRDefault="00F220F9" w:rsidP="00F2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E23D2">
              <w:rPr>
                <w:rFonts w:cstheme="minorHAnsi"/>
                <w:sz w:val="20"/>
                <w:szCs w:val="20"/>
              </w:rPr>
              <w:t>Sądy Okręgowe. W orientacyjnym nakładzie pracy podano czas potrzebny na szkolenie.</w:t>
            </w:r>
          </w:p>
          <w:p w:rsidR="00025317" w:rsidRPr="000E23D2" w:rsidRDefault="00F220F9" w:rsidP="00F2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555555"/>
                <w:sz w:val="20"/>
                <w:szCs w:val="20"/>
              </w:rPr>
            </w:pPr>
            <w:r w:rsidRPr="000E23D2">
              <w:rPr>
                <w:rFonts w:cstheme="minorHAnsi"/>
                <w:sz w:val="20"/>
                <w:szCs w:val="20"/>
              </w:rPr>
              <w:t>Szacowany dodatkowy czas pracy własnej wynosi 40 godzin. Orientacyjny koszt uzyskania dokumentu potwierdzającego otrzymanie kwalifikacji wynosi 3500 zł brutto.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93364B">
        <w:trPr>
          <w:trHeight w:val="691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4.</w:t>
            </w:r>
          </w:p>
        </w:tc>
        <w:tc>
          <w:tcPr>
            <w:tcW w:w="6941" w:type="dxa"/>
          </w:tcPr>
          <w:p w:rsidR="00025317" w:rsidRPr="000E23D2" w:rsidRDefault="000E23D2" w:rsidP="007330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Orientacyjny nakład pracy potrzebny do uzyskania kwalifikacji [godz.]: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73304F">
        <w:trPr>
          <w:trHeight w:val="1304"/>
        </w:trPr>
        <w:tc>
          <w:tcPr>
            <w:tcW w:w="562" w:type="dxa"/>
          </w:tcPr>
          <w:p w:rsidR="00025317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5.</w:t>
            </w:r>
          </w:p>
        </w:tc>
        <w:tc>
          <w:tcPr>
            <w:tcW w:w="6941" w:type="dxa"/>
          </w:tcPr>
          <w:p w:rsidR="006D087C" w:rsidRDefault="000E23D2" w:rsidP="000E23D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Grupy osób, które mogą być zainteresowane uzyskaniem kwalifikacji: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 xml:space="preserve">Potwierdzeniem kwalifikacji "Prowadzenie mediacji sądowych </w:t>
            </w:r>
            <w:r w:rsidR="0093364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i pozasądowych w sprawach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 xml:space="preserve">cywilnych" mogą być zainteresowani: </w:t>
            </w:r>
            <w:r w:rsidR="0093364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- prawnicy różnych specjalności, przede wszystkim:</w:t>
            </w:r>
          </w:p>
          <w:p w:rsidR="00025317" w:rsidRPr="000E23D2" w:rsidRDefault="000E23D2" w:rsidP="000E23D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23D2">
              <w:rPr>
                <w:rFonts w:ascii="Arial" w:hAnsi="Arial" w:cs="Arial"/>
                <w:bCs/>
                <w:sz w:val="20"/>
                <w:szCs w:val="20"/>
              </w:rPr>
              <w:t>adwokaci, radcowie prawni, komornicy i notariusze; - psycholo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gowie i psychoterapeuci, którzy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chcą poszerzyć swój warsztat zawodowy; - kuratorzy sądo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 i pracownicy socjalni, w tym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asystenci rodziny; - osoby świadczące nieodpłatną pomoc prawną w ramach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Punktów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nieodpłatnych porad prawnych; - drobni usługodawcy, chcą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cy usprawnić procesy związane z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dochodzeniem należności od osób fizycznych; - studenci 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óżnych kierunków studiów (m.in. </w:t>
            </w:r>
            <w:r w:rsidRPr="000E23D2">
              <w:rPr>
                <w:rFonts w:ascii="Arial" w:hAnsi="Arial" w:cs="Arial"/>
                <w:bCs/>
                <w:sz w:val="20"/>
                <w:szCs w:val="20"/>
              </w:rPr>
              <w:t>prawo, psychologia, socjologia, pedagogika, ekonomia); - nauczyciele i pedagodzy szkolni.</w:t>
            </w: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E23D2" w:rsidTr="0093364B">
        <w:trPr>
          <w:trHeight w:val="767"/>
        </w:trPr>
        <w:tc>
          <w:tcPr>
            <w:tcW w:w="562" w:type="dxa"/>
          </w:tcPr>
          <w:p w:rsidR="000E23D2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6.</w:t>
            </w:r>
          </w:p>
        </w:tc>
        <w:tc>
          <w:tcPr>
            <w:tcW w:w="6941" w:type="dxa"/>
          </w:tcPr>
          <w:p w:rsidR="000E23D2" w:rsidRPr="00BC7FD9" w:rsidRDefault="00BC7FD9" w:rsidP="003B5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7F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Wymagane kwalifikacje poprzedzające: </w:t>
            </w:r>
            <w:r w:rsidRPr="00BC7FD9">
              <w:rPr>
                <w:rFonts w:ascii="Arial" w:eastAsia="Calibri" w:hAnsi="Arial" w:cs="Arial"/>
                <w:bCs/>
                <w:sz w:val="20"/>
                <w:szCs w:val="20"/>
              </w:rPr>
              <w:t>Kwalifikacja pełna na poziomie 5 PRK</w:t>
            </w:r>
          </w:p>
        </w:tc>
        <w:tc>
          <w:tcPr>
            <w:tcW w:w="7229" w:type="dxa"/>
          </w:tcPr>
          <w:p w:rsidR="000E23D2" w:rsidRDefault="000E23D2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93364B">
        <w:trPr>
          <w:trHeight w:val="977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7.</w:t>
            </w:r>
          </w:p>
        </w:tc>
        <w:tc>
          <w:tcPr>
            <w:tcW w:w="6941" w:type="dxa"/>
          </w:tcPr>
          <w:p w:rsidR="00BC7FD9" w:rsidRPr="003B57DB" w:rsidRDefault="003B57DB" w:rsidP="003B57DB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W razie potrzeby warunki, jakie musi spełniać osoba przystępująca do walidacji: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Osoba przystępująca do walidacji musi posiadać kwalifikację pełną na poziomie 4 PRK, zgodnie z art. 8 ustawy o ZSK.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8.</w:t>
            </w:r>
          </w:p>
        </w:tc>
        <w:tc>
          <w:tcPr>
            <w:tcW w:w="6941" w:type="dxa"/>
          </w:tcPr>
          <w:p w:rsidR="0093364B" w:rsidRDefault="003B57DB" w:rsidP="00EE51B1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/>
                <w:bCs/>
                <w:sz w:val="18"/>
                <w:szCs w:val="20"/>
              </w:rPr>
              <w:t>Zapotrzebowanie na kwalifikację: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Sfera stosunków cywilnoprawnych stanowi naturalną d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omenę zastosowania mediacji, co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znajduje potwierdzenie w regulacjach prawnych o charakter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ze krajowym, międzynarodowym, a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także ponadnarodowym. </w:t>
            </w:r>
          </w:p>
          <w:p w:rsidR="0093364B" w:rsidRDefault="003B57DB" w:rsidP="00EE51B1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Cs/>
                <w:sz w:val="18"/>
                <w:szCs w:val="20"/>
              </w:rPr>
              <w:t>Podstawowe zasady prawa cywilnego,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takie jak zasada swobody umów,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autonomii woli, braku podporządkowania i równorzędności stron stosunku prawnego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sprzyjają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stosowaniu mediacji w rozwiązywaniu sporów cywilny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ch. Mediację definiuje się jako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„zorganizowane postępowanie o dobrowolnym charakterze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, bez względu na jego nazwę lub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określenie, w którym przynajmniej dwie strony sporu próbu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ją same osiągnąć porozumienie w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celu rozwiązania ich sporu, korzystając z pomocy mediatora” [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def. Zawarta w art. 3 Dyrektywy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Parlamentu Europejskiego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i Rady 2008/52/WE z dnia 21 ma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ja 2008 r. w sprawie niektórych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aspektów mediacji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w sprawach cywilnych i handlo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wych”]. Sprawy cywilne stanowią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najobszerniejszą kategorię spraw, wpływających do sądów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powszechnych. W I kwartale 2018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roku, na ogólną liczbę 3 955 164 spraw, które wpłynęły do sądów, najliczniejszą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grupę stano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wią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sprawy cywilne: 2 368 575 spraw w sądach rejonowych,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102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869 spraw w sądach okręgowych i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apelacyjnych [dane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statystyczn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e Ministerstwa Sprawiedliwości: </w:t>
            </w:r>
            <w:hyperlink r:id="rId11" w:history="1">
              <w:r w:rsidR="00EE51B1" w:rsidRPr="007C06AD">
                <w:rPr>
                  <w:rStyle w:val="Hipercze"/>
                  <w:rFonts w:ascii="Arial" w:hAnsi="Arial" w:cs="Arial"/>
                  <w:bCs/>
                  <w:sz w:val="18"/>
                  <w:szCs w:val="20"/>
                </w:rPr>
                <w:t>https://isws.ms.gov.pl/pl/baza-statystyczna/opracowaniajednoroczne/rok-2018/download,3616,0.html</w:t>
              </w:r>
            </w:hyperlink>
            <w:r w:rsidRPr="003B57DB">
              <w:rPr>
                <w:rFonts w:ascii="Arial" w:hAnsi="Arial" w:cs="Arial"/>
                <w:bCs/>
                <w:sz w:val="18"/>
                <w:szCs w:val="20"/>
              </w:rPr>
              <w:t>, co daje łącznie blisko 2,5 miliona spraw. Są to sprawy,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które mogą dotyczyć każdego, w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tym osób, dla których prowadzenie sporu sądowego wiąże się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z dużym obciążeniem finansowym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i emocjonalnym. Mediacje cywilne prowadzone przed wniesieniem sprawy do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sądu pozwalają na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uniknięcie tego rodzaju </w:t>
            </w:r>
            <w:proofErr w:type="spellStart"/>
            <w:r w:rsidRPr="003B57DB">
              <w:rPr>
                <w:rFonts w:ascii="Arial" w:hAnsi="Arial" w:cs="Arial"/>
                <w:bCs/>
                <w:sz w:val="18"/>
                <w:szCs w:val="20"/>
              </w:rPr>
              <w:t>ryzyk</w:t>
            </w:r>
            <w:proofErr w:type="spellEnd"/>
            <w:r w:rsidRPr="003B57DB">
              <w:rPr>
                <w:rFonts w:ascii="Arial" w:hAnsi="Arial" w:cs="Arial"/>
                <w:bCs/>
                <w:sz w:val="18"/>
                <w:szCs w:val="20"/>
              </w:rPr>
              <w:t>, zaś zastosowanie mediacji w t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oku sprawy pozwala na skuteczne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zakończenie nierzadko wieloletnich, złożonych i generujących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wysokie koszty postępowania, w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szczególności z zakresu postępowania nieprocesowego, n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p. w sprawach o podział majątku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wspólnego czy dział spadku. Udział w postępowaniu mediacyjnym oznacza dla zainteresowanych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również istotne korzyści finansowe w postaci zwrotu części opł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aty oraz braku dalszych kosztów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postępowania związanych z jego spornym charakterem. Mediac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ja powoduje nie tylko obniżenie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kosztów postępowań sądowych i ich przyspieszenie, ale równi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eż możliwość realnego wpływu na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wynik postępowania oraz wiele dodatkowych korzyści: takich jak n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aprawienie lub ocalenie relacji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między stronami. </w:t>
            </w:r>
          </w:p>
          <w:p w:rsidR="00407B4F" w:rsidRDefault="003B57DB" w:rsidP="00EE51B1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3B57DB">
              <w:rPr>
                <w:rFonts w:ascii="Arial" w:hAnsi="Arial" w:cs="Arial"/>
                <w:bCs/>
                <w:sz w:val="18"/>
                <w:szCs w:val="20"/>
              </w:rPr>
              <w:t>Mediacje cywilne umożliwiają również ro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związanie, często wieloletnich,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konfliktów sąsiedzkich, spornych kwestii dotyczących 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zaległych zobowiązań czy spłaty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należności. Mediacje cywilne dotyczą szerokiego katalogu spr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aw: od działu spadku i podziału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majątku wspólnego, przez spory sąsiedzkie, kwestie odszk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odowań i naprawienia szkody czy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 xml:space="preserve">zadośćuczynienia, wykonanie umowy i kwestie zapłaty, po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lastRenderedPageBreak/>
              <w:t>oc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hronę dóbr osobistych czy prawa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autorskie. Spektrum spraw, w których możliwym jest prowadzenie mediacji cywilnych, zwła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szcza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przed wniesieniem sprawy do sądu, jest bardzo szerokie. Ust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awodawca – traktując o wymogach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formalnych pozwu w art. 187 k.p.c. - wskazał również, iż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jego koniecznym elementem jest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oświadczenie czy próba polubownego rozstrzygnięcia spornej kwestii była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 xml:space="preserve"> podejmowana. Tym </w:t>
            </w:r>
            <w:r w:rsidRPr="003B57DB">
              <w:rPr>
                <w:rFonts w:ascii="Arial" w:hAnsi="Arial" w:cs="Arial"/>
                <w:bCs/>
                <w:sz w:val="18"/>
                <w:szCs w:val="20"/>
              </w:rPr>
              <w:t>samym mediacje stały się wręcz rekomendowaną ścieżką d</w:t>
            </w:r>
            <w:r w:rsidR="00EE51B1">
              <w:rPr>
                <w:rFonts w:ascii="Arial" w:hAnsi="Arial" w:cs="Arial"/>
                <w:bCs/>
                <w:sz w:val="18"/>
                <w:szCs w:val="20"/>
              </w:rPr>
              <w:t>la rozwiązania sporu.</w:t>
            </w:r>
          </w:p>
          <w:p w:rsidR="00BC7FD9" w:rsidRPr="00EE51B1" w:rsidRDefault="00EE51B1" w:rsidP="00EE51B1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 Zgodnie z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Dyrektywą Parlamentu Europejskiego i Rady 2008/52/WE 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dnia 21 maja 2008 r. w sprawie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niektórych aspektów mediacji w sprawach cywilnych i handlowych (Dz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. U. UE L z dnia 24 maja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2008 r.) państwa członkowskie zostały wezwane do stworzen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alternatywnych, pozasądowych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procedur, gdyż zagwarantowanie lepszego dostępu do wymi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aru sprawiedliwości, stanowiące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jeden z celów w ramach polityki Unii Europejskiej w zakresie ust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anowienia przestrzeni wolności,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bezpieczeństwa i sprawiedliwości, powinno obejmowa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ć także dostęp do sądowych oraz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pozasądowych metod rozwiązywania sporów. Dyre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ktywa powinna przyczynić się do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prawidłowego funkcjonowania rynku wewnętrznego, w szczegól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ności jeśli chodzi o dostępność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usług mediacyjnych. W wyniku prac instytucji międzynarodowy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ch lub ponadnarodowych przyjęto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międzynarodowe standardy dotyczące mediacji cywilnych, które znajdują swoje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odzwierciedlenie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w: Rekomendacji Komitetu Rady Ministrów Rady Europy </w:t>
            </w:r>
            <w:proofErr w:type="spellStart"/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Rec</w:t>
            </w:r>
            <w:proofErr w:type="spellEnd"/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 (2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002) 10 z 18 września 2002 r. o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mediacji w sprawach cywilnych, a także ustawie wzorco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wej z 2002 r. o międzynarodowej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koncyliacji handlowej przyjętej przez Komisję Międzynarodowego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Prawa Handlowego ONZ.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Jednym z kierunków działań Ministerstwa Sprawiedliwości, 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ramach „Strategii modernizacji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przestrzeni sprawiedliwości w Polsce na lata 2014-2020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” jest szerokie wykorzystywanie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alternatywnych metod rozwiązywania sporów (ADR) oraz związ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ana z tym popularyzacja idei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mediacji, prowadząca do znacznego zwiększenia zakresu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wykorzystania tego narzędzia na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etapie poprzedzającym postępowanie przed sądem. W tym celu prowadzone są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prace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legislacyjne mające na celu uproszczenie procedur mediacyjnych oraz </w:t>
            </w:r>
            <w:r>
              <w:rPr>
                <w:rFonts w:ascii="Arial" w:hAnsi="Arial" w:cs="Arial"/>
                <w:bCs/>
                <w:sz w:val="18"/>
                <w:szCs w:val="20"/>
              </w:rPr>
              <w:t>zachęcające strony do s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zerszego korzystania z polubownego rozwiązywania sporów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 konfliktów. Metody ADR, w tym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mediacja zostały usytuowane w strukturze organizacyjnej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Ministerstwa Sprawiedliwości w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odrębnym departamencie (Zespół ds. Mediacji w ramach De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partamentu Strategii i Funduszy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Europejskich), co spowodowało urealnienie prowadzen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skutecznych działań na rzecz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upowszechniania i popularyzacji metod ADR w rozwiązywan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iu sporów. Rosnąca popularność,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ranga i skala mediacji (potwierdzona przytoczonymi staty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stykami) w rozwiązywaniu sporów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cywilnych, krajowych i transgranicznych, przy jednocz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esnym braku rynkowego standardu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 xml:space="preserve">„dobrej mediacji” i „dobrego mediatora”, narzuca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lastRenderedPageBreak/>
              <w:t>potr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zebę wprowadzenia jednolitego i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niekwestionowanego w obrębie kraju standardu mediacj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 sądowej w sprawach cywilnych.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Włączenie kwalifikacji „Prowadzenie mediacji sądowych i poz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asądowych w sprawach cywilnych”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pozwoli na ustandaryzowanie procesu nadawania kwalifikacj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 mediatorom i podkreśli wysoką </w:t>
            </w:r>
            <w:r w:rsidR="003B57DB" w:rsidRPr="003B57DB">
              <w:rPr>
                <w:rFonts w:ascii="Arial" w:hAnsi="Arial" w:cs="Arial"/>
                <w:bCs/>
                <w:sz w:val="18"/>
                <w:szCs w:val="20"/>
              </w:rPr>
              <w:t>rangę, jaką mediacje odgrywają w życiu społecznym.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9.</w:t>
            </w:r>
          </w:p>
        </w:tc>
        <w:tc>
          <w:tcPr>
            <w:tcW w:w="6941" w:type="dxa"/>
          </w:tcPr>
          <w:p w:rsidR="00BC7FD9" w:rsidRPr="00EE51B1" w:rsidRDefault="00EE51B1" w:rsidP="00EE5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EE51B1">
              <w:rPr>
                <w:rFonts w:cstheme="minorHAnsi"/>
                <w:b/>
                <w:color w:val="333333"/>
                <w:sz w:val="18"/>
                <w:szCs w:val="18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cstheme="minorHAnsi"/>
                <w:b/>
                <w:color w:val="333333"/>
                <w:sz w:val="18"/>
                <w:szCs w:val="18"/>
              </w:rPr>
              <w:t xml:space="preserve"> </w:t>
            </w:r>
            <w:r w:rsidRPr="00EE51B1">
              <w:rPr>
                <w:rFonts w:cstheme="minorHAnsi"/>
                <w:color w:val="333333"/>
                <w:sz w:val="18"/>
                <w:szCs w:val="18"/>
              </w:rPr>
              <w:t>Kwalifikacja „Prowadzenie mediacji sądowych i pozasądowyc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h w sprawach cywilnych” stanowi </w:t>
            </w:r>
            <w:r w:rsidRPr="00EE51B1">
              <w:rPr>
                <w:rFonts w:cstheme="minorHAnsi"/>
                <w:color w:val="333333"/>
                <w:sz w:val="18"/>
                <w:szCs w:val="18"/>
              </w:rPr>
              <w:t>punkt wyjścia do uzyskania zgłoszonej do ZSK kwalifikacji „</w:t>
            </w:r>
            <w:r>
              <w:rPr>
                <w:rFonts w:cstheme="minorHAnsi"/>
                <w:color w:val="333333"/>
                <w:sz w:val="18"/>
                <w:szCs w:val="18"/>
              </w:rPr>
              <w:t xml:space="preserve">Prowadzenie mediacji sądowych i </w:t>
            </w:r>
            <w:r w:rsidRPr="00EE51B1">
              <w:rPr>
                <w:rFonts w:cstheme="minorHAnsi"/>
                <w:color w:val="333333"/>
                <w:sz w:val="18"/>
                <w:szCs w:val="18"/>
              </w:rPr>
              <w:t>pozasądowych w sprawach gospodarczych”.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BC7FD9" w:rsidTr="0073304F">
        <w:trPr>
          <w:trHeight w:val="1304"/>
        </w:trPr>
        <w:tc>
          <w:tcPr>
            <w:tcW w:w="562" w:type="dxa"/>
          </w:tcPr>
          <w:p w:rsidR="00BC7FD9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10.</w:t>
            </w:r>
          </w:p>
        </w:tc>
        <w:tc>
          <w:tcPr>
            <w:tcW w:w="6941" w:type="dxa"/>
          </w:tcPr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Typowe możliwości wykorzystania kwalifikacji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Osoba posiadająca kwalifikację Prowadzenie mediacji sądowych i pozasądowych w sprawach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cywilnych może znaleźć zatrudnienie w instytucjach oraz podmiotach, w których istotne są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kompetencje z zakresu prowadzenia mediacji oraz sztuki rozwiązywania konfliktów m.in.: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•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F28CC">
              <w:rPr>
                <w:rFonts w:ascii="Arial" w:hAnsi="Arial" w:cs="Arial"/>
                <w:bCs/>
                <w:sz w:val="18"/>
                <w:szCs w:val="20"/>
              </w:rPr>
              <w:t xml:space="preserve">   Ośrodkach mediacyjnych;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•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Kancelariach prawnych (np. departament ds. mediacji,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poz</w:t>
            </w:r>
            <w:r w:rsidR="009F28CC">
              <w:rPr>
                <w:rFonts w:ascii="Arial" w:hAnsi="Arial" w:cs="Arial"/>
                <w:bCs/>
                <w:sz w:val="18"/>
                <w:szCs w:val="20"/>
              </w:rPr>
              <w:t>asądowego rozstrzygania sporu);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F28CC">
              <w:rPr>
                <w:rFonts w:ascii="Arial" w:hAnsi="Arial" w:cs="Arial"/>
                <w:bCs/>
                <w:sz w:val="18"/>
                <w:szCs w:val="20"/>
              </w:rPr>
              <w:t>Firmach windykacyjnych;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F28CC">
              <w:rPr>
                <w:rFonts w:ascii="Arial" w:hAnsi="Arial" w:cs="Arial"/>
                <w:bCs/>
                <w:sz w:val="18"/>
                <w:szCs w:val="20"/>
              </w:rPr>
              <w:t>Bankach;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Miejskich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F28CC">
              <w:rPr>
                <w:rFonts w:ascii="Arial" w:hAnsi="Arial" w:cs="Arial"/>
                <w:bCs/>
                <w:sz w:val="18"/>
                <w:szCs w:val="20"/>
              </w:rPr>
              <w:t>ośrodkach pomocy;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003578" w:rsidRP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• Organizacjach pozarządowych zajmującymi się rozstrzyganiem sporów i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pomocy konkretnym grupom osób. </w:t>
            </w:r>
          </w:p>
          <w:p w:rsidR="00003578" w:rsidRDefault="00003578" w:rsidP="00003578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BC7FD9" w:rsidRPr="00003578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Osoba posiadająca kwalifikację może również prowadzić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własną działalność gospodarczą lub świadczyć usługi na zlecenie w zakresie mediacji oraz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uzyskać wpis na listę Stałych Mediatorów prowadzoną przez Sądy Okręgowe (po spełnieniu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dodatkowych wymagań: nie była karana za przestępstwo umyślne, co najmniej 26-letnia,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znająca język polski oraz posiadająca wiedzę i umiejętności w zakresie prowadzenia mediacji (w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rozporządzeniu przykładowo wskazano, że dokumenty powinny poświadczać m.in. odbycie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szkolenia z zakresu mediacji, określać specjalizację mediatora oraz jego wykształcenie).</w:t>
            </w:r>
          </w:p>
        </w:tc>
        <w:tc>
          <w:tcPr>
            <w:tcW w:w="7229" w:type="dxa"/>
          </w:tcPr>
          <w:p w:rsidR="00BC7FD9" w:rsidRDefault="00BC7FD9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003578" w:rsidP="0093364B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/>
                <w:bCs/>
                <w:sz w:val="18"/>
                <w:szCs w:val="20"/>
              </w:rPr>
              <w:t>Wymagania dotyczące walidacji i podmiotów przeprowadzających walidację: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1. Etap weryfikacji </w:t>
            </w:r>
          </w:p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1.1. Metody Weryfikacja składa się z dwóch etapów: egzaminu teoretycznego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(testu wiedzy) i egzaminu praktycznego. Test wiedzy przep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rowadzany jest w elektronicznym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systemie w ośrodku egzaminacyjnym. Osobie egzaminowanej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podczas rozwiązywania testu nie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wolno korzystać z innych aplikacji (w tym otwierać str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on internetowych) niż system do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przeprowadzania egzaminu. W części praktycznej dopuszcza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się zastosowanie następujących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metod weryfikacji: próbka pracy połączona z symulacją, rozm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 z komisją, analiza dowodów.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Dowodami na potwierdzenie niniejszej kwalifikac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ji mogą być m.in. poświadczenia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przeprowadzonych mediacji wydane przez sąd lub ośrodek me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diacji wraz z opisami symulacji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mediacji oraz dokumentacją. </w:t>
            </w:r>
          </w:p>
          <w:p w:rsidR="007B6568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1.2. Zasoby kadrowe W proce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sie weryfikacji biorą udział: </w:t>
            </w:r>
          </w:p>
          <w:p w:rsidR="007B6568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●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operator systemu egzaminacyjnego, który organizuje zaplecz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 techniczne do przeprowadzenia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weryfikacji i nadzoruje przebieg testu; </w:t>
            </w:r>
          </w:p>
          <w:p w:rsidR="007B6568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● komisja we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ryfikacyjna, składająca się z 2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egzaminatorów, która przeprowadza część praktyczną egzam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inu. Osoba będąca egzaminatorem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może być jednocześnie operatorem systemu eg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zaminacyjnego. </w:t>
            </w:r>
          </w:p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Operator systemu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egzaminacyjnego musi posiadać: - wykształcenie minim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um średnie, - znajomość obsługi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komputera w zakresie uruchamiania oraz podstawowej ob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sługi systemu i zainstalowanych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aplikacji, - umiejętność rozwiązywania problemów w sytua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cji trudności z nawiązaniem lub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zanikiem połączenia internetowego lub obsługą przeglądar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ki w zakresie kompatybilności z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platformą egzaminacyjną. Weryfikację efektów uczenia si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ę w części praktycznej prowadzi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komisja weryfikacyjna, składająca się z min. 2 osób. Jeden cz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łonek komisji weryfikacyjnej: -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posiada wykształcenie wyższe magisterskie (kwalifikacja pełna 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 poziomie 7 PRK zgodnie z art.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8 ustawy o ZSK); - posiada minimum 5-letnie doświ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adczenie w prowadzeniu mediacji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potwierdzone rekomendacją Ośrodka Mediacji lub sądu (w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przypadku prowadzenia mediacji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sądowych); - posiada ukończone studia podyplomowe lub szkole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nie z zakresu mediacji (min. 80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godzin) oraz co najmniej 2 specjalizacje z zakresu mediacji (w tym obligatoryjnie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mediacji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cywilnej), - akceptuje zasady etyki zawodowej mediatora, - zna 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ktualnie obowiązujące regulacje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prawne w zakresie mediacji, - zna i akceptuje standardy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lastRenderedPageBreak/>
              <w:t>prowadzenia mediacji i postępowania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mediatora, - posiada pełną zdolność do czynności prawnych, - stosuje kryteria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weryfikacji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przypisane do efektów uczenia się dla opisywanej kwalifikacji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oraz kryteria oceny formalnej 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merytorycznej dowodów na posiadanie efektów uczenia się właściwych dla 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pisywanej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kwalifikacji, - stosuje zasady prowadzenia weryfikacji, a także 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óżne metody weryfikacji efektów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uczenia się, zgodnie z celami walidacji i zasadami Zintegrowan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ego Systemu Kwalifikacji. Drugi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członek komisji weryfikacyjnej: - posiadać wykształcenie wyższe 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agisterskie (kwalifikacja pełna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na poziomie 7 PRK zgodnie z art. 8 ustawy o ZSK); - posiada 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inimum 3-letnie doświadczenie 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prowadzeniu mediacji potwierdzone rekomendacją Ośrodka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Mediacji lub sądu (w przypadku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prowadzenia mediacji sądowych) oraz udokumentowane prot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okołami odbioru/referencjami (z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wymienioną datą przeprowadzenia szkolenia, nazwą podmiotu,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ilością osób biorących udział 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szkoleniu) szkolenia z mediacji (co najmniej 200 h dydaktyczny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ch); - posiada ukończone studia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podyplomowe lub szkolenie z zakresu mediacji (min. 80 godzin) 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raz co najmniej 2 specjalizacje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 zakresu mediacji (w tym obligatoryjnie mediacji cywilne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j) oraz szkolenie z kompetencji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społecznych (co najmniej 40 h szkoleniowych), - akceptuje zasady etyki zawodowej mediatora,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-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zna aktualnie obowiązujące regulacje prawne w zakresie mediac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ji, - zna i akceptuje standardy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prowadzenia mediacji i postępowania mediatora, - stosuje kry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teria weryfikacji przypisane do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efektów uczenia się dla opisywanej kwalifikacji oraz kryteria oceny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formalnej i merytorycznej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dowodów na posiadanie efektów uczenia się właściwych dla opi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sywanej kwalifikacji, - stosuje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zasady prowadzenia weryfikacji, a także różne metody weryfikacji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efektów uczenia się, zgodnie z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celami walidacji i zasadami Zintegrowanego Systemu Kwalifika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cji. Instytucja walidująca musi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stosować rozwiązania zapewniające rozdzielenie procesów kształce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nia i szkolenia od walidacji. 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szczególności istotne jest zapewnienie bezstronności osób pr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zeprowadzających walidację m.in.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poprzez rozdział osobowy mający na celu zapobieg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anie konfliktowi interesów osób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przeprowadzających walidację. Osoby te nie mogą weryfikować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efektów uczenia się osób, które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były przez nie przygotowywane do uzyskania kwalifikacji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Prowadzenie mediacji sądowych 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pozasądowych w sprawach cywilnych. </w:t>
            </w:r>
          </w:p>
          <w:p w:rsidR="00766650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1.3. Sposób org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anizacji walidacji oraz warunki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organizacyjne i materialne Instytucja prowadząca walida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cję musi zapewnić: </w:t>
            </w:r>
          </w:p>
          <w:p w:rsidR="00766650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• stanowisko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komputerowe dla kandydata ubiegającego się o nadanie kwa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lifikacji (jedno stanowisko dla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jednego kandydata), wyposażone w przeglądarkę internet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ową z dostępem do Internetu) do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realizacji części teoretycznej egzaminu; • stolik, 3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krzesła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oraz materiały biurowe (kartki,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długopis);</w:t>
            </w:r>
          </w:p>
          <w:p w:rsidR="00766650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 • 2 statystów, którzy odgrywają rolę stron w procesie mediacji (w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rolę statystów mogą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wcielić się również inni uczestnicy podchodzący do walidacji); </w:t>
            </w:r>
          </w:p>
          <w:p w:rsidR="0093364B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>• opracowane casusy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dotyczące spraw cywilnych. Instytucja prowadząca walid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ację musi zapewnić bezstronną 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niezależną procedurę odwoławczą, w ramach której osoby uczes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tniczące w procesie walidacji i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certyfikacji, mają możliwość odwołania się od decyzji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dotyczących spełnienia wymogów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formalnych, samych egzaminów, a także decyzji k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ończącej walidację. W przypadku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negatywnego wyniku walidacji instytucja prowadząca walidac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ję jest zobowiązana przedstawić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uzasadnienie decyzji. </w:t>
            </w:r>
          </w:p>
          <w:p w:rsidR="00EE51B1" w:rsidRPr="00003578" w:rsidRDefault="00003578" w:rsidP="00003578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2. </w:t>
            </w:r>
            <w:r w:rsidRP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Etapy identyfikowania i dokumentowania Instytucja prowadząca walidację zapewnia wsparcie doradcy na etapie identyfikowania i na etapie dokumentowania posiadanych efektów uczenia się. Doradca: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 xml:space="preserve">- stosuje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metody i narzędzia pomocne przy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identyfikowaniu i dokumentowaniu kompetencji; - zn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 zasady weryfikacji dowodów na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osiągnięcie efektów uczenia się; - przestrzega wysokich st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andardów etyki zawodowej; - zna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wymagane efekty uczenia się oraz kryteria weryfikacji ustal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one dla kwalifikacji będących w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zakresie jego działania jako doradcy walidacyjnego; - zna meto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dy i narzędzia stosowane w celu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zweryfikowania wymaganych efektów uczenia dla kwalif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ikacji będących w zakresie jego </w:t>
            </w:r>
            <w:r w:rsidRPr="00003578">
              <w:rPr>
                <w:rFonts w:ascii="Arial" w:hAnsi="Arial" w:cs="Arial"/>
                <w:bCs/>
                <w:sz w:val="18"/>
                <w:szCs w:val="20"/>
              </w:rPr>
              <w:t>działania jako doradcy walidacyjnego.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E51B1" w:rsidTr="0073304F">
        <w:trPr>
          <w:trHeight w:val="1304"/>
        </w:trPr>
        <w:tc>
          <w:tcPr>
            <w:tcW w:w="562" w:type="dxa"/>
          </w:tcPr>
          <w:p w:rsidR="00EE51B1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EE51B1" w:rsidRPr="00FA5AA0" w:rsidRDefault="00FA5AA0" w:rsidP="00FA5AA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Syntetyczna charakterystyka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Osoba posiadająca kwalifikację Prowadzenie mediacji sądowych i pozasądowych w sprawach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 xml:space="preserve">cywilnych jest gotowa do samodzielnego planowania i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przeprowadzania pełnego procesu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mediacji w sprawach cywilnych zarówno w postępowaniac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h sądowych, jak i pozasądowych.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Dokonuje analizy konfliktu, rozpoznaje przedmiot sporu oraz sta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nowiska i oczekiwania stron. Na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podstawie analizy, ocenia czy nie ma przeciwskazań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 zastosowania mediacji. Jest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przygotowana do motywowania i wspierania stron w poszu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kiwaniu rozwiązań sprzyjających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rozwiązywaniu konfliktów. Stosując techniki zarządzania emoc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jami oraz techniki negocjacyjne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prowadzi strony do uzyskania porozumienia. Sporządza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dokumenty niezbędne w procesie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mediacji (umowę o przeprowadzenie mediacji, protokół z pos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iedzenia mediacyjnego). Wspiera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strony w procesie kształtowania finalnej ugody mediacy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jnej. Potrafi dostrzec elementy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umożliwiające wykonanie porozumienia. Posługuje się po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dstawową nomenklaturą z zakresu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 xml:space="preserve">prawa cywilnego (zobowiązany, sprzedaż,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lastRenderedPageBreak/>
              <w:t>zadatek, dostawa,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spadek, wstępny, zstępny itp.)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umożliwiającą zrozumienie problemu zgłaszanego przez str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ony mediacji. Aktualizuje swoją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 xml:space="preserve">wiedzę z zakresu mediacji oraz zastosowania podstaw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prawnych związanych z procedurą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mediacji (w tym w szczególności w kontekście regulacji postę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powania mediacyjnego w Kodeksie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postępowania cywilnego). W zakresie wiedzy specjalis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tycznej, przekraczającej własne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umiejętności jako mediatora, potrafi wskazać ekspert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ów zewnętrznych, np. prawników,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doradców podatkowych do podjęcia współpracy. Jest przygotowana do reagowania oraz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rozwiązywania problemów, często w zmiennych i niep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rzewidywalnych warunkach. Osoba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posiadająca kwalifikację rozumie zakres odpowiedzialności 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ynikający z wykonywania działań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 xml:space="preserve">zawodowych,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w szczególności w sytuacji doradzania Stron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om konkretnych rozwiązań za ich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obopólną zgodą.</w:t>
            </w:r>
          </w:p>
        </w:tc>
        <w:tc>
          <w:tcPr>
            <w:tcW w:w="7229" w:type="dxa"/>
          </w:tcPr>
          <w:p w:rsidR="00EE51B1" w:rsidRDefault="00EE51B1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3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FA5AA0" w:rsidRDefault="00FA5AA0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nr.1: </w:t>
            </w:r>
          </w:p>
          <w:p w:rsidR="00FA5AA0" w:rsidRDefault="00FA5AA0" w:rsidP="00FA5AA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Ustalenie zasad współpracy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A. Dokonuje Analizy Konfliktu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- zadaje pytania o przyczyny i przebieg konfliktu z perspektyw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y obu stron; - zadaje pytania o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charakter konfliktu, by określić z jakim rodzajem konfliktu ma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my do czynienia (wartości,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danych, struktury, relacji); - na podstawie zebranych danych ocenia czy są przeciwwskazania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do zastosowania mediacji; - stosuje technikę neutralizow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ania i normalizowania konfliktu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poprzez przewidzenie możliwego problemu w mediacji, 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azwanie go i odniesienie się do </w:t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konfliktu w sposób konstruktywny.</w:t>
            </w:r>
          </w:p>
          <w:p w:rsidR="00FA5AA0" w:rsidRDefault="00FA5AA0" w:rsidP="00FA5AA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B. Konstruuje monolog mediatora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- przedstawia stronom: definicję mediacji, cel mediacji, metod</w:t>
            </w:r>
            <w:r w:rsidR="00EF4D40">
              <w:rPr>
                <w:rFonts w:ascii="Arial" w:hAnsi="Arial" w:cs="Arial"/>
                <w:bCs/>
                <w:sz w:val="18"/>
                <w:szCs w:val="20"/>
              </w:rPr>
              <w:t xml:space="preserve">y pracy; - wyjaśnia procedurę i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przebieg mediacji; - omawia rolę stron oraz rolę mediatora.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EF4D40" w:rsidRDefault="00EF4D40" w:rsidP="00EF4D4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Pr="00EF4D40">
              <w:rPr>
                <w:rFonts w:ascii="Arial" w:hAnsi="Arial" w:cs="Arial"/>
                <w:b/>
                <w:bCs/>
                <w:sz w:val="18"/>
                <w:szCs w:val="20"/>
              </w:rPr>
              <w:t>Przeprowadza wstępne spotkanie ze stronami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- przedstawia zasady prowadzenia mediacji zgodnie z Kod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eksem Postępowania Cywilnego; -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 xml:space="preserve">przedstawia zalety stosowania mediacji; -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lastRenderedPageBreak/>
              <w:t>zadaje stronom py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tania o ich wątpliwości i obawy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związane z wzięciem udziału w mediacjach; - wskazuje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różnice pomiędzy postępowaniem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 xml:space="preserve">mediacyjnym a postępowaniem sądowym, zakończonym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wydaniem przez Sąd orzeczenia –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wyroku.</w:t>
            </w:r>
          </w:p>
          <w:p w:rsidR="00EF4D40" w:rsidRDefault="00EF4D40" w:rsidP="00EF4D4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D. </w:t>
            </w:r>
            <w:r w:rsidRPr="00EF4D40">
              <w:rPr>
                <w:rFonts w:ascii="Arial" w:hAnsi="Arial" w:cs="Arial"/>
                <w:b/>
                <w:bCs/>
                <w:sz w:val="18"/>
                <w:szCs w:val="20"/>
              </w:rPr>
              <w:t>Stosuje standardy pracy mediatora oraz zasady wynikające z Kodeksu Etycznego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F4D40">
              <w:rPr>
                <w:rFonts w:ascii="Arial" w:hAnsi="Arial" w:cs="Arial"/>
                <w:b/>
                <w:bCs/>
                <w:sz w:val="18"/>
                <w:szCs w:val="20"/>
              </w:rPr>
              <w:t>Mediatorów</w:t>
            </w:r>
          </w:p>
          <w:p w:rsidR="00EF4D40" w:rsidRDefault="00EF4D40" w:rsidP="00EF4D4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Kryteria weryfikacji: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- wyjaśnia standardy pracy mediatora zgodnie z krajowy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mi standardami pracy w zawodzie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mediatora uchwalonymi przez Społeczną Radę ADR w dniu 2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6 czerwca 2006 r.; - wskazuje i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omawia zasady wynikające z Kodeksu Etycznego Mediato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rów Polskich, uchwalonego przez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Społeczną Radę ds. Alternatywnych Metod Rozwiązywania Kon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fliktów i Sporów przy Ministrze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Sprawiedliwości w maju 2008r; - odróżnia jakie zach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owania mediatora można uznać za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etyczne, a jakie za nieetyczne.</w:t>
            </w:r>
          </w:p>
          <w:p w:rsidR="00EF4D40" w:rsidRPr="00EF4D40" w:rsidRDefault="00EF4D40" w:rsidP="00EF4D40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E. </w:t>
            </w:r>
            <w:r w:rsidRPr="00EF4D40">
              <w:rPr>
                <w:rFonts w:ascii="Arial" w:hAnsi="Arial" w:cs="Arial"/>
                <w:b/>
                <w:bCs/>
                <w:sz w:val="18"/>
                <w:szCs w:val="20"/>
              </w:rPr>
              <w:t>Ustala kontrakt mediacyjny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- wyjaśnia pojęcie kontraktu mediacyjnego; - przedstaw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podstawowe zasady współpracy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pomiędzy stronami a mediatorem; - wyjaśnia zasady zat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wierdzania ugody mediacyjnej; -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przedstawia zasady dialogu w mediacji opartego na w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zajemnym szacunku komunikowania </w:t>
            </w:r>
            <w:r w:rsidRPr="00EF4D40">
              <w:rPr>
                <w:rFonts w:ascii="Arial" w:hAnsi="Arial" w:cs="Arial"/>
                <w:bCs/>
                <w:sz w:val="18"/>
                <w:szCs w:val="20"/>
              </w:rPr>
              <w:t>się i prosi strony o ich akceptację.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FA5AA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4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</w:p>
        </w:tc>
        <w:tc>
          <w:tcPr>
            <w:tcW w:w="6941" w:type="dxa"/>
          </w:tcPr>
          <w:p w:rsidR="00EF4D40" w:rsidRDefault="00EF4D40" w:rsidP="00EF4D4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nr.2: </w:t>
            </w:r>
          </w:p>
          <w:p w:rsidR="00B74A2E" w:rsidRDefault="00EF4D40" w:rsidP="00B74A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Prezentowanie stanowisk stron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6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B74A2E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="00B74A2E" w:rsidRPr="00B74A2E">
              <w:rPr>
                <w:rFonts w:ascii="Arial" w:hAnsi="Arial" w:cs="Arial"/>
                <w:b/>
                <w:bCs/>
                <w:sz w:val="18"/>
                <w:szCs w:val="20"/>
              </w:rPr>
              <w:t>Identyfikuje propozycje stron</w:t>
            </w:r>
            <w:r w:rsidR="00B74A2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- wyjaśnia pojęcia: stanowisk, interesów i potr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zeb; - zadaje pytania dotyczące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doprecyzowania oczekiwań i propozycji stron; - sprawdza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 czy wskazane interesy stron są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 xml:space="preserve">sprzeczne ze sobą i zaspokojenie ich będzie wymagało 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kompromisu, czy są zróżnicowane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pod względem wartości i ugoda będzie wymagała uwzglę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dnienia wzajemnych preferencji,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czy są uzupełniające w swoim zakresie w celu ustalenia pot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rzeb stojących za interesami; -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 xml:space="preserve">stosuje parafrazę w celu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lastRenderedPageBreak/>
              <w:t>doprecyzowania wypowiedzi str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on; - zadaje pytania związane z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wyjaśnianiem faktów, aby doprecyzować oczekiwania stron; - definiuje pojęcia naj</w:t>
            </w:r>
            <w:r w:rsidR="00B74A2E">
              <w:rPr>
                <w:rFonts w:ascii="Arial" w:hAnsi="Arial" w:cs="Arial"/>
                <w:bCs/>
                <w:sz w:val="18"/>
                <w:szCs w:val="20"/>
              </w:rPr>
              <w:t xml:space="preserve">lepszej i </w:t>
            </w:r>
            <w:r w:rsidR="00B74A2E" w:rsidRPr="00B74A2E">
              <w:rPr>
                <w:rFonts w:ascii="Arial" w:hAnsi="Arial" w:cs="Arial"/>
                <w:bCs/>
                <w:sz w:val="18"/>
                <w:szCs w:val="20"/>
              </w:rPr>
              <w:t>najgorszej alternatywy do negocjowanego porozumienia (BATNA i WATNA).</w:t>
            </w:r>
          </w:p>
          <w:p w:rsidR="00FA5AA0" w:rsidRPr="00B74A2E" w:rsidRDefault="00B74A2E" w:rsidP="00B74A2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Pr="00B74A2E">
              <w:rPr>
                <w:rFonts w:ascii="Arial" w:hAnsi="Arial" w:cs="Arial"/>
                <w:b/>
                <w:bCs/>
                <w:sz w:val="18"/>
                <w:szCs w:val="20"/>
              </w:rPr>
              <w:t>Rozpoznaje przedmiot sporu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B74A2E">
              <w:rPr>
                <w:rFonts w:ascii="Arial" w:hAnsi="Arial" w:cs="Arial"/>
                <w:bCs/>
                <w:sz w:val="18"/>
                <w:szCs w:val="20"/>
              </w:rPr>
              <w:t>- dokonuje ustaleń co do kolejności wypowiedzi stron; - zadaje pytania o stanowiska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B74A2E">
              <w:rPr>
                <w:rFonts w:ascii="Arial" w:hAnsi="Arial" w:cs="Arial"/>
                <w:bCs/>
                <w:sz w:val="18"/>
                <w:szCs w:val="20"/>
              </w:rPr>
              <w:t>wyjściowe stron dotyczące sporu; - zadaje pytania dookreśl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ające służące wyjaśnieniu, o co </w:t>
            </w:r>
            <w:r w:rsidRPr="00B74A2E">
              <w:rPr>
                <w:rFonts w:ascii="Arial" w:hAnsi="Arial" w:cs="Arial"/>
                <w:bCs/>
                <w:sz w:val="18"/>
                <w:szCs w:val="20"/>
              </w:rPr>
              <w:t>toczony jest spór; - porządkuje,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B74A2E">
              <w:rPr>
                <w:rFonts w:ascii="Arial" w:hAnsi="Arial" w:cs="Arial"/>
                <w:bCs/>
                <w:sz w:val="18"/>
                <w:szCs w:val="20"/>
              </w:rPr>
              <w:t>podsumowuje i wyjaśn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ia tematy mediacji, by uchwycić </w:t>
            </w:r>
            <w:r w:rsidRPr="00B74A2E">
              <w:rPr>
                <w:rFonts w:ascii="Arial" w:hAnsi="Arial" w:cs="Arial"/>
                <w:bCs/>
                <w:sz w:val="18"/>
                <w:szCs w:val="20"/>
              </w:rPr>
              <w:t>najważniejsze kwestie dotyczące sporu.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A5AA0" w:rsidTr="0073304F">
        <w:trPr>
          <w:trHeight w:val="1304"/>
        </w:trPr>
        <w:tc>
          <w:tcPr>
            <w:tcW w:w="562" w:type="dxa"/>
          </w:tcPr>
          <w:p w:rsidR="00FA5AA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B74A2E" w:rsidRDefault="00B74A2E" w:rsidP="00B74A2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nr.3: </w:t>
            </w:r>
          </w:p>
          <w:p w:rsidR="00FA5AA0" w:rsidRDefault="00B74A2E" w:rsidP="00B74A2E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Rozpoznanie interesów stron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19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330E74"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330E74"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Buduje relacje pomiędzy stronami</w:t>
            </w:r>
            <w:r w:rsidR="00330E74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="00330E74" w:rsidRPr="00330E74">
              <w:rPr>
                <w:rFonts w:ascii="Arial" w:hAnsi="Arial" w:cs="Arial"/>
                <w:bCs/>
                <w:sz w:val="18"/>
                <w:szCs w:val="20"/>
              </w:rPr>
              <w:t>- wyjaśnia zjawiska psychologiczne towarzyszące konfliktowi, mechanizmy i postawy zakłócające proces dochodzenia do porozumienia; - omawia blokady komunikacyjne i zasady budowania konstruktywnego dialogu; - przeformułowuje wypowiedź negatywną na neutralną.</w:t>
            </w:r>
          </w:p>
          <w:p w:rsidR="00330E74" w:rsidRDefault="00330E74" w:rsidP="00B74A2E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Identyfikuje oczekiwania i potrzeby stron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>- zadaje pytania o potrzeby i interesy stron; - zadaje pytania przeformułowujące zgłaszane oczekiwania na potrzeby; - tworzy arkusz rozbieżności i zgodności stanowisk w celu wykazania wspólnych interesów stron oraz naświetlenia rozbieżności.</w:t>
            </w:r>
          </w:p>
          <w:p w:rsidR="00330E74" w:rsidRDefault="00330E74" w:rsidP="00B74A2E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C. 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Podsumowuje efekty rozmów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>- stosuje komunikat informacji zwrotnej, przedstawia fakty, nazywa interesy każdej ze stron, wskazując na zgodność lub sprzeczność oraz wyrażone przez strony oczekiwania; - stosuje asertywny komunikat „Ja” komunikaty w celu edukowania stron na temat pokojowych form wypowiedzi.</w:t>
            </w:r>
          </w:p>
          <w:p w:rsidR="00330E74" w:rsidRPr="00330E74" w:rsidRDefault="00330E74" w:rsidP="00B74A2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D. P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rowadzi proces wentylacji emocji stron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 xml:space="preserve">Kryteria weryfikacji: 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>- zadaje pytania odwracające role, budujące wzajemne zrozumienie; - wydobywa fakty, które mogą być użyteczne w osiągnięciu porozumienia.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E. 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Zarządza emocjami stron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 xml:space="preserve"> odzwierciedla (powtarza, parafrazuje, podsumowuje) wypowiedzi stron konfliktu odnoszące się do przeżywanych emocji; - odwołuje się do zasad mediacji i kontraktu w razie ich łamania; - podaje przykłady sytuacji, w których wskazane jest wprowadzenie spotkania na Poszczególne efekty uczenia się oraz kryteria weryfikacji ich osiągnięcia osobności i podaje zasady prowadzenia takich spotkań; - wskazuje i nazywa trudności komunikacyjne doświadczane przez strony.</w:t>
            </w:r>
          </w:p>
        </w:tc>
        <w:tc>
          <w:tcPr>
            <w:tcW w:w="7229" w:type="dxa"/>
          </w:tcPr>
          <w:p w:rsidR="00FA5AA0" w:rsidRDefault="00FA5AA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F4D40" w:rsidTr="0073304F">
        <w:trPr>
          <w:trHeight w:val="1304"/>
        </w:trPr>
        <w:tc>
          <w:tcPr>
            <w:tcW w:w="562" w:type="dxa"/>
          </w:tcPr>
          <w:p w:rsidR="00EF4D4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Default="00330E74" w:rsidP="00330E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nr.4: </w:t>
            </w:r>
          </w:p>
          <w:p w:rsidR="00EF4D40" w:rsidRDefault="00330E74" w:rsidP="00330E7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>Generowanie opcji i poszukiwanie rozwiązań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19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</w:p>
          <w:p w:rsidR="00330E74" w:rsidRDefault="00330E74" w:rsidP="00330E74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DB69BF">
              <w:rPr>
                <w:rFonts w:ascii="Arial" w:hAnsi="Arial" w:cs="Arial"/>
                <w:b/>
                <w:bCs/>
                <w:sz w:val="18"/>
                <w:szCs w:val="20"/>
              </w:rPr>
              <w:t>A.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330E74">
              <w:rPr>
                <w:rFonts w:ascii="Arial" w:hAnsi="Arial" w:cs="Arial"/>
                <w:b/>
                <w:bCs/>
                <w:sz w:val="18"/>
                <w:szCs w:val="20"/>
              </w:rPr>
              <w:t>Prowadzi proces do porozumienia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330E74">
              <w:rPr>
                <w:rFonts w:ascii="Arial" w:hAnsi="Arial" w:cs="Arial"/>
                <w:bCs/>
                <w:sz w:val="18"/>
                <w:szCs w:val="20"/>
              </w:rPr>
              <w:t>- analizuje współtworzony przez strony końcowy plan działania, który określa zobowiązania stron oraz sposób realizacji proponowanych rozwiązań; - analizuje sposób wdrażania poszczególnych rozwiązań.</w:t>
            </w:r>
          </w:p>
          <w:p w:rsidR="00330E74" w:rsidRPr="00DB69BF" w:rsidRDefault="00DB69BF" w:rsidP="00330E7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Wspomaga proces kreatywnego poszukiwania rozwiązań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 xml:space="preserve">- zadaje pytania pobudzające do zgłaszania rozwiązań; - tworzy wraz ze stronami i za ich obopólną zgodą listę różnych opcji i dostępnych rozwiązań oraz zgodności z obowiązującymi przepisami prawa; – wskazuje ekspertów zewnętrznych niezbędnych do konsultacji w wypadku wątpliwości w zakresie oceny prawnej opracowywanego rozwiązania konfliktu; - analizuje rozwiązania pod kątem użyteczności i wykonalności; - ustala ze stronami reguły dokonywania wyboru rozwiązań; - zadaje pytania skłaniające strony do modyfikacji rozwiązań tak, by zaspokajały interesy każdej ze stron; - stosuje strategie wzmocnień pozytywnych poprzez uwspólnianie tj. wskazywanie tego, co łączy strony; - stosuje uruchamianie motywacji zewnętrznej poprzez przypominanie korzyści z mediacji; - stosuje uruchamianie motywacji wewnętrznej poprzez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lastRenderedPageBreak/>
              <w:t>zadawanie pytań dotyczących wartości celem uzyskania głębszych i trwalszych rezultatów; – na zgodny wniosek stron wskazuje sposób rozwiązania sporu z pouczen</w:t>
            </w:r>
            <w:bookmarkStart w:id="0" w:name="_GoBack"/>
            <w:bookmarkEnd w:id="0"/>
            <w:r w:rsidRPr="00DB69BF">
              <w:rPr>
                <w:rFonts w:ascii="Arial" w:hAnsi="Arial" w:cs="Arial"/>
                <w:bCs/>
                <w:sz w:val="18"/>
                <w:szCs w:val="20"/>
              </w:rPr>
              <w:t>iem, iż nie jest on wiążący dla stron.</w:t>
            </w:r>
          </w:p>
        </w:tc>
        <w:tc>
          <w:tcPr>
            <w:tcW w:w="7229" w:type="dxa"/>
          </w:tcPr>
          <w:p w:rsidR="00EF4D40" w:rsidRDefault="00EF4D4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EF4D40" w:rsidTr="0073304F">
        <w:trPr>
          <w:trHeight w:val="1304"/>
        </w:trPr>
        <w:tc>
          <w:tcPr>
            <w:tcW w:w="562" w:type="dxa"/>
          </w:tcPr>
          <w:p w:rsidR="00EF4D40" w:rsidRDefault="00EF4D40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7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DB69BF" w:rsidRDefault="00DB69BF" w:rsidP="00DB69B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nr.5: </w:t>
            </w:r>
          </w:p>
          <w:p w:rsidR="00DB69BF" w:rsidRDefault="00DB69BF" w:rsidP="00DB69B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Sporządzenie porozumienia i dokumentów mediacyjnych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20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</w:p>
          <w:p w:rsidR="00EF4D40" w:rsidRPr="00DB69BF" w:rsidRDefault="00DB69BF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A.</w:t>
            </w:r>
            <w:r w:rsidRPr="00DB69BF">
              <w:t xml:space="preserve"> </w:t>
            </w: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Charakteryzuje regulacje prawne związane z zawieraniem ugody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- analizuje dopuszczalność i wskazuje na konieczność ewentualnego rozstrzygnięcia mediowanych kwestii w jednej lub kilku ugodach; - wskazuje w jakich postępowaniach, co do jakich praw, nie jest dopuszczalne zawarcie ugody; - omawia podstawowe zasady konstruowania ugody, aby uzgodniona przed mediatorem ugoda w przyszłości nadawała się do egzekucji (określenie stron, zobowiązania, terminów wykonania zobowiązania, sankcji za niewykonanie zobowiązania, odsetki, wyczerpania wzajemnych roszczeń stron); - rozróżnia ugodę, która zostanie przyjęta przez Sąd poprzez nadanie jej klauzuli wykonalności od ugody, która zostanie przyjęta przez jej zatwierdzenie.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Sporządza dokumenty mediacyjne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- omawia zasady tworzenia dokumentacji mediacyjnej oraz zasady składania dokumentacji mediacyjnej do sądu; - wskazuje na konieczne (formalne) elementy ugody; - tworzy dokumentację mediacyjną (umowa o mediację, umowa o przeprowadzenie mediacji, protokół mediacyjny oraz wniosek o zatwierdzenie ugody przez Sąd); - omawia zasady zatwierdzania ugody mediacyjnej przez Sąd w postępowaniu pozasądowym na wniosek stron; - wskazuje ekspertów zewnętrznych (prawników) do weryfikacji treści ugody, w wypadku ujawnienia wątpliwości odnośnie skutków materialnoprawnych i procesowych oraz pod względem jej zgodności z prawem i zasadami współżycia społecznego.</w:t>
            </w:r>
          </w:p>
        </w:tc>
        <w:tc>
          <w:tcPr>
            <w:tcW w:w="7229" w:type="dxa"/>
          </w:tcPr>
          <w:p w:rsidR="00EF4D40" w:rsidRDefault="00EF4D40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330E74" w:rsidTr="0073304F">
        <w:trPr>
          <w:trHeight w:val="1304"/>
        </w:trPr>
        <w:tc>
          <w:tcPr>
            <w:tcW w:w="562" w:type="dxa"/>
          </w:tcPr>
          <w:p w:rsidR="00330E74" w:rsidRDefault="00933395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18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DB69BF" w:rsidRDefault="00DB69BF" w:rsidP="00DB69B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Zestawy efektów uczenia się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nr.6: </w:t>
            </w:r>
          </w:p>
          <w:p w:rsidR="00DB69BF" w:rsidRDefault="00DB69BF" w:rsidP="00DB69B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Cs/>
                <w:sz w:val="18"/>
                <w:szCs w:val="20"/>
              </w:rPr>
              <w:t>Nazwa zestawu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Posługiwanie się wiedzą z zakresu prawa niezbędną na każdym etapie mediacji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Poziom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5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FA5AA0">
              <w:rPr>
                <w:rFonts w:ascii="Arial" w:hAnsi="Arial" w:cs="Arial"/>
                <w:bCs/>
                <w:sz w:val="18"/>
                <w:szCs w:val="20"/>
              </w:rPr>
              <w:t>Orientacyjny nakład pracy [godz.]</w:t>
            </w:r>
            <w:r>
              <w:rPr>
                <w:rFonts w:ascii="Arial" w:hAnsi="Arial" w:cs="Arial"/>
                <w:bCs/>
                <w:sz w:val="18"/>
                <w:szCs w:val="20"/>
              </w:rPr>
              <w:t>: 10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  <w:t>Rodzaj zestawu: obowiązkowy</w:t>
            </w:r>
          </w:p>
          <w:p w:rsidR="00DB69BF" w:rsidRDefault="00DB69BF" w:rsidP="00DB69BF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FA5AA0">
              <w:rPr>
                <w:rFonts w:ascii="Arial" w:hAnsi="Arial" w:cs="Arial"/>
                <w:b/>
                <w:bCs/>
                <w:sz w:val="18"/>
                <w:szCs w:val="20"/>
              </w:rPr>
              <w:t>Poszczególne efekty uczenia się oraz kryteria weryfikacji ich osiągnięcia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A. </w:t>
            </w: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Charakteryzuje reguły, zasady i konsekwencje prawne istotne w kontekście mediacji cywilnej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 xml:space="preserve">- omawia podstawowe ramy prawne mediacji wynikające z art.183 </w:t>
            </w:r>
            <w:r w:rsidRPr="00DB69BF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1-5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 xml:space="preserve"> Kodeksu Postępowania Cywilnego; - rozróżnia podstawowe pojęcia z zakresu prawa cywilnego i określa charakter roszczenia (stosunek prawny, rzecz, zobowiązanie, świadczenie wzajemne, ekwiwalentność świadczeń, roszczenie pieniężne i niepieniężne, naprawienie szkody, odpowiedzialność kontraktowa, jak i z czynu niedozwolonego, wykonanie zobowiązań i skutki ich niewykonania); - posługuje się podstawową nomenklaturą prawa zobowiązań i prawa rzeczowego (stosunek prawny, czynność prawna, ekwiwalentność świadczeń, roszczenie, zasady współżycia społecznego, naprawienie szkody, czyn niedozwolony, wykonanie zobowiązań i skutki ich niewykonania, własność, współwłasność, posiadanie); - ustala czy uczestnicy postępowania mediacyjnego mają zdolność do czynności prawnych, - określa prawidłową formę dokonania czynności prawnej, - rozróżnia specyfikę umów z udziałem konsumenta.</w:t>
            </w:r>
          </w:p>
          <w:p w:rsidR="00330E74" w:rsidRPr="00DB69BF" w:rsidRDefault="00DB69BF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B. </w:t>
            </w: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Posługuje się wiedzą z zakresu procedury cywilnej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Kryteria weryfikacji: 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- omawia przebieg postępowania sądowego (zasady postępowania dowodowego, zaskarżalność rozstrzygnięć, w szczególności w kontekście oczekiwania na prawomocne rozstrzygnięcie); - rozróżnia koszty postępowania od kosztów procesu, zastępstwa procesowego; - omawia koszty postępowania mediacyjnego, zasady związane z obciążaniem stron tymi kosztami i zasady zwrotu opłaty w całości lub w części; - określa roszczenia akcesoryjne; - wskazuje konsekwencje zawarcia ugody w zakresie powagi rzeczy ugodzonej.</w:t>
            </w:r>
          </w:p>
        </w:tc>
        <w:tc>
          <w:tcPr>
            <w:tcW w:w="7229" w:type="dxa"/>
          </w:tcPr>
          <w:p w:rsidR="00330E74" w:rsidRDefault="00330E74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330E74" w:rsidTr="0073304F">
        <w:trPr>
          <w:trHeight w:val="1304"/>
        </w:trPr>
        <w:tc>
          <w:tcPr>
            <w:tcW w:w="562" w:type="dxa"/>
          </w:tcPr>
          <w:p w:rsidR="00330E74" w:rsidRDefault="00933395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lastRenderedPageBreak/>
              <w:t>19</w:t>
            </w:r>
            <w:r w:rsidR="00330E74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330E74" w:rsidRPr="0093364B" w:rsidRDefault="00DB69BF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B69BF">
              <w:rPr>
                <w:rFonts w:ascii="Arial" w:hAnsi="Arial" w:cs="Arial"/>
                <w:b/>
                <w:bCs/>
                <w:sz w:val="18"/>
                <w:szCs w:val="20"/>
              </w:rPr>
              <w:t>Okres ważności dokumentu potwierdzającego nadanie kwalifikacji i warunki przedłużenia jego ważności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Pr="00DB69BF">
              <w:rPr>
                <w:rFonts w:ascii="Arial" w:hAnsi="Arial" w:cs="Arial"/>
                <w:bCs/>
                <w:sz w:val="18"/>
                <w:szCs w:val="20"/>
              </w:rPr>
              <w:t>Okres ważności: 10 lat W celu odnowienia certyfikatu kandydat zobowiązany jest przedstawić dowody poświadczające przeprowadzenie min. 10 mediacji w sprawach cywilnych od momentu potwierdzenia kwalifikacji. W przypadku braku wymaganych dowodów kandydat podchodzi ponownie do procesu weryfikacji.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Nazwa dokumentu potwierdzającego nadanie kwalifikacji</w:t>
            </w:r>
            <w:r w:rsidR="0093364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Certyfikat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Uprawnienia związane z posiadaniem kwalifikacji: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 Nie dotyczy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dziedziny kształcenia: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3364B" w:rsidRPr="0093364B">
              <w:rPr>
                <w:rFonts w:ascii="Arial" w:hAnsi="Arial" w:cs="Arial"/>
                <w:bCs/>
                <w:sz w:val="18"/>
                <w:szCs w:val="20"/>
              </w:rPr>
              <w:t xml:space="preserve">38 - Prawo 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="0093364B" w:rsidRPr="0093364B">
              <w:rPr>
                <w:rFonts w:ascii="Arial" w:hAnsi="Arial" w:cs="Arial"/>
                <w:b/>
                <w:bCs/>
                <w:sz w:val="18"/>
                <w:szCs w:val="20"/>
              </w:rPr>
              <w:t>Kod PKD:</w:t>
            </w:r>
            <w:r w:rsidR="0093364B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="0093364B" w:rsidRPr="0093364B">
              <w:rPr>
                <w:rFonts w:ascii="Arial" w:hAnsi="Arial" w:cs="Arial"/>
                <w:bCs/>
                <w:sz w:val="18"/>
                <w:szCs w:val="20"/>
              </w:rPr>
              <w:t>69.1 - Działalność prawnicza</w:t>
            </w:r>
          </w:p>
        </w:tc>
        <w:tc>
          <w:tcPr>
            <w:tcW w:w="7229" w:type="dxa"/>
          </w:tcPr>
          <w:p w:rsidR="00330E74" w:rsidRDefault="00330E74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3364B" w:rsidTr="0073304F">
        <w:trPr>
          <w:trHeight w:val="1304"/>
        </w:trPr>
        <w:tc>
          <w:tcPr>
            <w:tcW w:w="562" w:type="dxa"/>
          </w:tcPr>
          <w:p w:rsidR="0093364B" w:rsidRDefault="0093364B" w:rsidP="00933395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  <w:r w:rsidR="00933395">
              <w:rPr>
                <w:rFonts w:ascii="Arial" w:hAnsi="Arial" w:cs="Arial"/>
                <w:bCs/>
                <w:sz w:val="18"/>
                <w:szCs w:val="20"/>
              </w:rPr>
              <w:t>0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</w:tc>
        <w:tc>
          <w:tcPr>
            <w:tcW w:w="6941" w:type="dxa"/>
          </w:tcPr>
          <w:p w:rsidR="0093364B" w:rsidRPr="00DB69BF" w:rsidRDefault="0093364B" w:rsidP="0073304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Dodatkowe uwagi: </w:t>
            </w:r>
          </w:p>
        </w:tc>
        <w:tc>
          <w:tcPr>
            <w:tcW w:w="7229" w:type="dxa"/>
          </w:tcPr>
          <w:p w:rsidR="0093364B" w:rsidRDefault="0093364B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8B" w:rsidRDefault="0045038B" w:rsidP="009F72A9">
      <w:pPr>
        <w:spacing w:after="0" w:line="240" w:lineRule="auto"/>
      </w:pPr>
      <w:r>
        <w:separator/>
      </w:r>
    </w:p>
  </w:endnote>
  <w:endnote w:type="continuationSeparator" w:id="0">
    <w:p w:rsidR="0045038B" w:rsidRDefault="0045038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826A3D" w:rsidRDefault="00826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F5C">
          <w:rPr>
            <w:noProof/>
          </w:rPr>
          <w:t>16</w:t>
        </w:r>
        <w:r>
          <w:fldChar w:fldCharType="end"/>
        </w:r>
      </w:p>
    </w:sdtContent>
  </w:sdt>
  <w:p w:rsidR="00826A3D" w:rsidRDefault="0082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8B" w:rsidRDefault="0045038B" w:rsidP="009F72A9">
      <w:pPr>
        <w:spacing w:after="0" w:line="240" w:lineRule="auto"/>
      </w:pPr>
      <w:r>
        <w:separator/>
      </w:r>
    </w:p>
  </w:footnote>
  <w:footnote w:type="continuationSeparator" w:id="0">
    <w:p w:rsidR="0045038B" w:rsidRDefault="0045038B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95" w:rsidRDefault="004503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3D" w:rsidRDefault="00826A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9082F49" wp14:editId="7A0AF6C2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3578"/>
    <w:rsid w:val="00014122"/>
    <w:rsid w:val="00025317"/>
    <w:rsid w:val="00036AD8"/>
    <w:rsid w:val="000A5B79"/>
    <w:rsid w:val="000A5E0E"/>
    <w:rsid w:val="000B7007"/>
    <w:rsid w:val="000E23D2"/>
    <w:rsid w:val="000E4702"/>
    <w:rsid w:val="00113699"/>
    <w:rsid w:val="00167856"/>
    <w:rsid w:val="00167AE1"/>
    <w:rsid w:val="00194869"/>
    <w:rsid w:val="001A3A10"/>
    <w:rsid w:val="0021776F"/>
    <w:rsid w:val="00220DFE"/>
    <w:rsid w:val="002D4D04"/>
    <w:rsid w:val="002E4E5D"/>
    <w:rsid w:val="002E67C7"/>
    <w:rsid w:val="00305819"/>
    <w:rsid w:val="0032516D"/>
    <w:rsid w:val="00330E74"/>
    <w:rsid w:val="00397BDA"/>
    <w:rsid w:val="003B57DB"/>
    <w:rsid w:val="003B712C"/>
    <w:rsid w:val="00407B4F"/>
    <w:rsid w:val="00420AE5"/>
    <w:rsid w:val="00432156"/>
    <w:rsid w:val="004374B7"/>
    <w:rsid w:val="0045038B"/>
    <w:rsid w:val="00482A76"/>
    <w:rsid w:val="00490F03"/>
    <w:rsid w:val="004B3FEC"/>
    <w:rsid w:val="004C517E"/>
    <w:rsid w:val="004F4EE9"/>
    <w:rsid w:val="00500EF5"/>
    <w:rsid w:val="0054731E"/>
    <w:rsid w:val="005814F6"/>
    <w:rsid w:val="00582FD8"/>
    <w:rsid w:val="005A6C56"/>
    <w:rsid w:val="005E5792"/>
    <w:rsid w:val="00610A8C"/>
    <w:rsid w:val="00617F5C"/>
    <w:rsid w:val="006766B5"/>
    <w:rsid w:val="00681890"/>
    <w:rsid w:val="00694C91"/>
    <w:rsid w:val="006B7B2C"/>
    <w:rsid w:val="006D087C"/>
    <w:rsid w:val="007112A6"/>
    <w:rsid w:val="0073304F"/>
    <w:rsid w:val="00757C1A"/>
    <w:rsid w:val="00766650"/>
    <w:rsid w:val="00790B6D"/>
    <w:rsid w:val="007B6568"/>
    <w:rsid w:val="007C3204"/>
    <w:rsid w:val="00826A3D"/>
    <w:rsid w:val="00873894"/>
    <w:rsid w:val="008B7458"/>
    <w:rsid w:val="008C3BF8"/>
    <w:rsid w:val="00933395"/>
    <w:rsid w:val="0093364B"/>
    <w:rsid w:val="00975584"/>
    <w:rsid w:val="009B43F8"/>
    <w:rsid w:val="009D4805"/>
    <w:rsid w:val="009E1D03"/>
    <w:rsid w:val="009F28CC"/>
    <w:rsid w:val="009F72A9"/>
    <w:rsid w:val="00A319C6"/>
    <w:rsid w:val="00A90B4D"/>
    <w:rsid w:val="00AC7476"/>
    <w:rsid w:val="00B119BE"/>
    <w:rsid w:val="00B74A2E"/>
    <w:rsid w:val="00BB01BC"/>
    <w:rsid w:val="00BC6743"/>
    <w:rsid w:val="00BC7FD9"/>
    <w:rsid w:val="00C40413"/>
    <w:rsid w:val="00C52EFC"/>
    <w:rsid w:val="00C97BA2"/>
    <w:rsid w:val="00CF4DD3"/>
    <w:rsid w:val="00D5061E"/>
    <w:rsid w:val="00D52DD9"/>
    <w:rsid w:val="00D72D07"/>
    <w:rsid w:val="00D91DEF"/>
    <w:rsid w:val="00D93AF7"/>
    <w:rsid w:val="00DB69BF"/>
    <w:rsid w:val="00DF4DF2"/>
    <w:rsid w:val="00E01BCC"/>
    <w:rsid w:val="00E20A70"/>
    <w:rsid w:val="00EE51B1"/>
    <w:rsid w:val="00EF4D40"/>
    <w:rsid w:val="00F220F9"/>
    <w:rsid w:val="00FA5AA0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E51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9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sws.ms.gov.pl/pl/baza-statystyczna/opracowaniajednoroczne/rok-2018/download,3616,0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4798</Words>
  <Characters>28790</Characters>
  <Application>Microsoft Office Word</Application>
  <DocSecurity>0</DocSecurity>
  <Lines>239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Markocka Agnieszka  (DSF)</cp:lastModifiedBy>
  <cp:revision>4</cp:revision>
  <cp:lastPrinted>2018-09-18T13:27:00Z</cp:lastPrinted>
  <dcterms:created xsi:type="dcterms:W3CDTF">2018-09-20T13:52:00Z</dcterms:created>
  <dcterms:modified xsi:type="dcterms:W3CDTF">2018-09-20T14:18:00Z</dcterms:modified>
</cp:coreProperties>
</file>