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……………………….., dnia ……………</w:t>
      </w:r>
    </w:p>
    <w:p w:rsidR="00EA005D" w:rsidRPr="00102F7E" w:rsidRDefault="00EA005D" w:rsidP="007E4966">
      <w:pPr>
        <w:jc w:val="center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b/>
        </w:rPr>
      </w:pPr>
      <w:r w:rsidRPr="00102F7E">
        <w:rPr>
          <w:rFonts w:ascii="Arial" w:hAnsi="Arial" w:cs="Arial"/>
          <w:b/>
        </w:rPr>
        <w:t xml:space="preserve">FORMULARZ KONSULTACJI 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 zainteresowanymi środowiskami </w:t>
      </w:r>
    </w:p>
    <w:p w:rsidR="00EA005D" w:rsidRPr="00102F7E" w:rsidRDefault="00EA005D" w:rsidP="007E4966">
      <w:pPr>
        <w:spacing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wniosku o włączenie do Zintegrowanego Systemu Kwalifikacji, kwalifikacji rynkowej: </w:t>
      </w:r>
    </w:p>
    <w:p w:rsidR="00EA005D" w:rsidRPr="00877A10" w:rsidRDefault="001B06B3" w:rsidP="00877A10">
      <w:pPr>
        <w:spacing w:before="120" w:after="120"/>
        <w:jc w:val="center"/>
        <w:rPr>
          <w:i/>
        </w:rPr>
      </w:pPr>
      <w:r w:rsidRPr="001B06B3">
        <w:rPr>
          <w:i/>
        </w:rPr>
        <w:t xml:space="preserve">Koordynowanie </w:t>
      </w:r>
      <w:r w:rsidR="00724767">
        <w:rPr>
          <w:i/>
        </w:rPr>
        <w:t>strategii wyprzedzającej w placówkach edukacyjnych</w:t>
      </w:r>
      <w:r w:rsidR="00EA005D" w:rsidRPr="00102F7E">
        <w:rPr>
          <w:rFonts w:ascii="Arial" w:hAnsi="Arial" w:cs="Arial"/>
        </w:rPr>
        <w:t>,</w:t>
      </w:r>
    </w:p>
    <w:p w:rsidR="00EA005D" w:rsidRDefault="00EA005D" w:rsidP="007E4966">
      <w:pPr>
        <w:spacing w:before="120"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złożonego przez </w:t>
      </w:r>
    </w:p>
    <w:p w:rsidR="001B06B3" w:rsidRPr="00102F7E" w:rsidRDefault="001B06B3" w:rsidP="007E4966">
      <w:pPr>
        <w:spacing w:before="120" w:after="120"/>
        <w:jc w:val="center"/>
        <w:rPr>
          <w:rFonts w:ascii="Arial" w:hAnsi="Arial" w:cs="Arial"/>
        </w:rPr>
      </w:pPr>
      <w:r w:rsidRPr="001B06B3">
        <w:rPr>
          <w:rFonts w:ascii="Arial" w:hAnsi="Arial" w:cs="Arial"/>
        </w:rPr>
        <w:t>Centrum Nowoczesnej Edukacji SCHOLAR Piotr Mazur</w:t>
      </w:r>
    </w:p>
    <w:p w:rsidR="00177E81" w:rsidRDefault="00177E81" w:rsidP="007E4966">
      <w:pPr>
        <w:spacing w:after="0"/>
        <w:jc w:val="center"/>
        <w:rPr>
          <w:i/>
        </w:rPr>
      </w:pPr>
      <w:r w:rsidRPr="00177E81">
        <w:rPr>
          <w:i/>
        </w:rPr>
        <w:t xml:space="preserve">konsultacje środowiskowe </w:t>
      </w:r>
      <w:r>
        <w:rPr>
          <w:i/>
        </w:rPr>
        <w:t>–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>Konsultacje są prowadzone zgodnie z art. 19 ust. 1 ustawy z dnia 22 grudnia 2015 r. o Zintegrowanym Systemie Kwalifikacji</w:t>
      </w:r>
      <w:r w:rsidRPr="00102F7E">
        <w:rPr>
          <w:rStyle w:val="Odwoanieprzypisudolnego"/>
          <w:rFonts w:ascii="Arial" w:hAnsi="Arial" w:cs="Arial"/>
        </w:rPr>
        <w:footnoteReference w:id="1"/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102F7E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Instytucja / Organizacja wyrażająca opinię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 xml:space="preserve">Adres </w:t>
            </w:r>
          </w:p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102F7E">
              <w:rPr>
                <w:rFonts w:ascii="Arial" w:hAnsi="Arial" w:cs="Arial"/>
                <w:i/>
                <w:sz w:val="16"/>
                <w:szCs w:val="16"/>
                <w:lang w:val="pl-PL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Tel./fax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e- mail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</w:tbl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EA005D" w:rsidRPr="00102F7E" w:rsidRDefault="00EA005D" w:rsidP="007E4966">
      <w:pPr>
        <w:jc w:val="right"/>
        <w:rPr>
          <w:rFonts w:ascii="Arial" w:hAnsi="Arial" w:cs="Arial"/>
          <w:sz w:val="20"/>
          <w:szCs w:val="20"/>
        </w:rPr>
        <w:sectPr w:rsidR="00EA005D" w:rsidRPr="00102F7E" w:rsidSect="00213E46">
          <w:footerReference w:type="default" r:id="rId7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05D" w:rsidRPr="00102F7E" w:rsidRDefault="00EA005D" w:rsidP="007E4966">
      <w:p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A005D" w:rsidRPr="00102F7E" w:rsidRDefault="00EA005D" w:rsidP="007E49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Opinie dotyczące poszczególnych fragmentów wniosku:</w:t>
      </w:r>
    </w:p>
    <w:tbl>
      <w:tblPr>
        <w:tblStyle w:val="TableGridLight1"/>
        <w:tblW w:w="14732" w:type="dxa"/>
        <w:tblLayout w:type="fixed"/>
        <w:tblLook w:val="04A0" w:firstRow="1" w:lastRow="0" w:firstColumn="1" w:lastColumn="0" w:noHBand="0" w:noVBand="1"/>
      </w:tblPr>
      <w:tblGrid>
        <w:gridCol w:w="533"/>
        <w:gridCol w:w="7513"/>
        <w:gridCol w:w="6686"/>
      </w:tblGrid>
      <w:tr w:rsidR="00EA005D" w:rsidRPr="00102F7E" w:rsidTr="00916B27">
        <w:trPr>
          <w:trHeight w:val="68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Opiniowany fragment wniosku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18"/>
                <w:lang w:val="pl-PL"/>
              </w:rPr>
              <w:t xml:space="preserve"> (strona, akapit)</w:t>
            </w:r>
          </w:p>
        </w:tc>
        <w:tc>
          <w:tcPr>
            <w:tcW w:w="6686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Treść zgłoszonej opinii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(propozycja zmiany, komentarz)</w:t>
            </w:r>
          </w:p>
        </w:tc>
      </w:tr>
      <w:tr w:rsidR="00EA005D" w:rsidRPr="00102F7E" w:rsidTr="00916B27">
        <w:trPr>
          <w:trHeight w:val="353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kwalifikacji: </w:t>
            </w:r>
            <w:r w:rsidR="00724767" w:rsidRPr="00724767">
              <w:rPr>
                <w:rFonts w:ascii="Arial" w:hAnsi="Arial" w:cs="Arial"/>
                <w:b/>
                <w:bCs/>
                <w:i/>
                <w:sz w:val="18"/>
                <w:szCs w:val="20"/>
                <w:lang w:val="pl-PL"/>
              </w:rPr>
              <w:t>Koordynowanie strategii wyprzedzającej w placówkach edukacyjnych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1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Proponowany poziom Polskiej Ramy Kwalifikacji:</w:t>
            </w:r>
            <w:r w:rsid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6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107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Krótka charakterystyka kwalifikacji oraz orientacyjny koszt uzyskania dokumentu potwierdzającego otrzymanie danej kwalifikacji: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724767" w:rsidRPr="00724767" w:rsidRDefault="00724767" w:rsidP="0072476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4767">
              <w:rPr>
                <w:rFonts w:ascii="Arial" w:hAnsi="Arial" w:cs="Arial"/>
                <w:sz w:val="18"/>
                <w:szCs w:val="18"/>
                <w:lang w:val="pl-PL"/>
              </w:rPr>
              <w:t xml:space="preserve">Osoba posiadające kwalifikację wspiera szkoły i inne podmioty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systemu oświaty oraz instytucje </w:t>
            </w:r>
            <w:r w:rsidRPr="00724767">
              <w:rPr>
                <w:rFonts w:ascii="Arial" w:hAnsi="Arial" w:cs="Arial"/>
                <w:sz w:val="18"/>
                <w:szCs w:val="18"/>
                <w:lang w:val="pl-PL"/>
              </w:rPr>
              <w:t>otoczenia we wdrażaniu strategii wyprzedzającej jako nowoc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zesnego modelu realizacji zadań </w:t>
            </w:r>
            <w:r w:rsidRPr="00724767">
              <w:rPr>
                <w:rFonts w:ascii="Arial" w:hAnsi="Arial" w:cs="Arial"/>
                <w:sz w:val="18"/>
                <w:szCs w:val="18"/>
                <w:lang w:val="pl-PL"/>
              </w:rPr>
              <w:t>związanych z nauczaniem. Posługuje się wiedzą z zakresu meto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dyki oraz kształcenia zdalnego. </w:t>
            </w:r>
            <w:r w:rsidRPr="00724767">
              <w:rPr>
                <w:rFonts w:ascii="Arial" w:hAnsi="Arial" w:cs="Arial"/>
                <w:sz w:val="18"/>
                <w:szCs w:val="18"/>
                <w:lang w:val="pl-PL"/>
              </w:rPr>
              <w:t>Prowadzi doradztwo dla kadr oświatowych w zakresie planow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ania, monitorowania i ewaluacji </w:t>
            </w:r>
            <w:r w:rsidRPr="00724767">
              <w:rPr>
                <w:rFonts w:ascii="Arial" w:hAnsi="Arial" w:cs="Arial"/>
                <w:sz w:val="18"/>
                <w:szCs w:val="18"/>
                <w:lang w:val="pl-PL"/>
              </w:rPr>
              <w:t>strategii wyprzedzającej. Osoba posiadająca kwalifikację może zn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aleźć zatrudnienie jako szkolny/</w:t>
            </w:r>
            <w:r w:rsidRPr="00724767">
              <w:rPr>
                <w:rFonts w:ascii="Arial" w:hAnsi="Arial" w:cs="Arial"/>
                <w:sz w:val="18"/>
                <w:szCs w:val="18"/>
                <w:lang w:val="pl-PL"/>
              </w:rPr>
              <w:t xml:space="preserve">rejonowy koordynator ds. wdrażania strategii wyprzedzającej,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trener / doradca / konsultant w </w:t>
            </w:r>
            <w:r w:rsidRPr="00724767">
              <w:rPr>
                <w:rFonts w:ascii="Arial" w:hAnsi="Arial" w:cs="Arial"/>
                <w:sz w:val="18"/>
                <w:szCs w:val="18"/>
                <w:lang w:val="pl-PL"/>
              </w:rPr>
              <w:t>tym zakresie, metodyk kształcenia odwróconego. Zatru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dnieniem koordynatora strategii </w:t>
            </w:r>
            <w:r w:rsidRPr="00724767">
              <w:rPr>
                <w:rFonts w:ascii="Arial" w:hAnsi="Arial" w:cs="Arial"/>
                <w:sz w:val="18"/>
                <w:szCs w:val="18"/>
                <w:lang w:val="pl-PL"/>
              </w:rPr>
              <w:t>wyprzedzającej mogą być zainteresowani dyrektorzy szkół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i placówek planujący efektywne </w:t>
            </w:r>
            <w:r w:rsidRPr="00724767">
              <w:rPr>
                <w:rFonts w:ascii="Arial" w:hAnsi="Arial" w:cs="Arial"/>
                <w:sz w:val="18"/>
                <w:szCs w:val="18"/>
                <w:lang w:val="pl-PL"/>
              </w:rPr>
              <w:t xml:space="preserve">wykorzystanie sprzętu i możliwości TIK oraz rozwój kompetencji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zatrudnionych w szkole/placówce </w:t>
            </w:r>
            <w:r w:rsidRPr="00724767">
              <w:rPr>
                <w:rFonts w:ascii="Arial" w:hAnsi="Arial" w:cs="Arial"/>
                <w:sz w:val="18"/>
                <w:szCs w:val="18"/>
                <w:lang w:val="pl-PL"/>
              </w:rPr>
              <w:t>kadr pedagogicznych (stosowanie nowatorskich rozwiązań metodycznych i organizacyjnych z</w:t>
            </w:r>
          </w:p>
          <w:p w:rsidR="00724767" w:rsidRPr="00724767" w:rsidRDefault="00724767" w:rsidP="0072476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4767">
              <w:rPr>
                <w:rFonts w:ascii="Arial" w:hAnsi="Arial" w:cs="Arial"/>
                <w:sz w:val="18"/>
                <w:szCs w:val="18"/>
                <w:lang w:val="pl-PL"/>
              </w:rPr>
              <w:t>wykorzystaniem nowoczesnych technologii komunikacyjno-informacyjnych). Koordynator</w:t>
            </w:r>
          </w:p>
          <w:p w:rsidR="00EA005D" w:rsidRPr="00367168" w:rsidRDefault="00724767" w:rsidP="0072476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4767">
              <w:rPr>
                <w:rFonts w:ascii="Arial" w:hAnsi="Arial" w:cs="Arial"/>
                <w:sz w:val="18"/>
                <w:szCs w:val="18"/>
                <w:lang w:val="pl-PL"/>
              </w:rPr>
              <w:t>strategii wyprzedzającej będzie również przygotowany do re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alizacji zadań na rzecz wydawców </w:t>
            </w:r>
            <w:r w:rsidRPr="00724767">
              <w:rPr>
                <w:rFonts w:ascii="Arial" w:hAnsi="Arial" w:cs="Arial"/>
                <w:sz w:val="18"/>
                <w:szCs w:val="18"/>
                <w:lang w:val="pl-PL"/>
              </w:rPr>
              <w:t>podręczników, materiałów edukacyjnych i ćwiczeniowych w p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ostaci e-zasobów w zakresie ich </w:t>
            </w:r>
            <w:r w:rsidRPr="00724767">
              <w:rPr>
                <w:rFonts w:ascii="Arial" w:hAnsi="Arial" w:cs="Arial"/>
                <w:sz w:val="18"/>
                <w:szCs w:val="18"/>
                <w:lang w:val="pl-PL"/>
              </w:rPr>
              <w:t>adaptacji do formuły strategii wyprzedzającej, a także na rzecz właścicieli pla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tform edukacyjnych </w:t>
            </w:r>
            <w:r w:rsidRPr="00724767">
              <w:rPr>
                <w:rFonts w:ascii="Arial" w:hAnsi="Arial" w:cs="Arial"/>
                <w:sz w:val="18"/>
                <w:szCs w:val="18"/>
                <w:lang w:val="pl-PL"/>
              </w:rPr>
              <w:t>wdrażających nowe rozwiązania technologiczne do wykorzystan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ia przez nauczycieli i uczniów. </w:t>
            </w:r>
            <w:r w:rsidRPr="00724767">
              <w:rPr>
                <w:rFonts w:ascii="Arial" w:hAnsi="Arial" w:cs="Arial"/>
                <w:sz w:val="18"/>
                <w:szCs w:val="18"/>
                <w:lang w:val="pl-PL"/>
              </w:rPr>
              <w:t>Wysokość opłaty za przeprowadzenie walidacji i wstawi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enie dokumenty potwierdzającego </w:t>
            </w:r>
            <w:r w:rsidRPr="00724767">
              <w:rPr>
                <w:rFonts w:ascii="Arial" w:hAnsi="Arial" w:cs="Arial"/>
                <w:sz w:val="18"/>
                <w:szCs w:val="18"/>
                <w:lang w:val="pl-PL"/>
              </w:rPr>
              <w:t>otrzymanie danej kwalifikacji wynosi 1500 PLN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640E6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potrzebny do uzyskania kwalifikacji [godz.]:</w:t>
            </w:r>
            <w:r w:rsidR="00810ED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1B06B3">
              <w:rPr>
                <w:rFonts w:ascii="Arial" w:hAnsi="Arial" w:cs="Arial"/>
                <w:bCs/>
                <w:sz w:val="18"/>
                <w:szCs w:val="20"/>
                <w:lang w:val="pl-PL"/>
              </w:rPr>
              <w:t>12</w:t>
            </w:r>
            <w:r w:rsidR="00367168">
              <w:rPr>
                <w:rFonts w:ascii="Arial" w:hAnsi="Arial" w:cs="Arial"/>
                <w:bCs/>
                <w:sz w:val="18"/>
                <w:szCs w:val="20"/>
                <w:lang w:val="pl-PL"/>
              </w:rPr>
              <w:t>0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699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Grupy osób, które mogą być zainteresowane uzyskaniem kwalifikacji:</w:t>
            </w:r>
          </w:p>
          <w:p w:rsidR="00724767" w:rsidRPr="00724767" w:rsidRDefault="00724767" w:rsidP="0072476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24767">
              <w:rPr>
                <w:rFonts w:ascii="Arial" w:hAnsi="Arial" w:cs="Arial"/>
                <w:bCs/>
                <w:sz w:val="18"/>
                <w:szCs w:val="20"/>
                <w:lang w:val="pl-PL"/>
              </w:rPr>
              <w:t>Uzyskaniem kwalifik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acji mogą być zainteresowani: </w:t>
            </w:r>
            <w:r w:rsidRPr="00724767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zyciele w szkołach i placówkach </w:t>
            </w:r>
            <w:r w:rsidRPr="00724767">
              <w:rPr>
                <w:rFonts w:ascii="Arial" w:hAnsi="Arial" w:cs="Arial"/>
                <w:bCs/>
                <w:sz w:val="18"/>
                <w:szCs w:val="20"/>
                <w:lang w:val="pl-PL"/>
              </w:rPr>
              <w:t>oświatowych (w tym placówkach doskonalenia nauczycieli,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bibliotekach pedagogicznych),  </w:t>
            </w:r>
            <w:r w:rsidRPr="00724767">
              <w:rPr>
                <w:rFonts w:ascii="Arial" w:hAnsi="Arial" w:cs="Arial"/>
                <w:bCs/>
                <w:sz w:val="18"/>
                <w:szCs w:val="20"/>
                <w:lang w:val="pl-PL"/>
              </w:rPr>
              <w:t>doradcy zawodowi i inni specjaliści zatrudnieni w szkołach i placówkach oświatowy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ch,  </w:t>
            </w:r>
            <w:r w:rsidRPr="00724767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pracownicy lub wolontariusze instytucji / placówek / organizacji pozarządowych pracujący z</w:t>
            </w:r>
          </w:p>
          <w:p w:rsidR="00102F7E" w:rsidRPr="00102F7E" w:rsidRDefault="00724767" w:rsidP="0072476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24767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dziećmi i młodzieżą w ramach partnerstwa z placów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ką edukacyjną w celu wspierania </w:t>
            </w:r>
            <w:r w:rsidRPr="00724767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nauczycieli i specjalistów w real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izacji jej zadań statutowych, </w:t>
            </w:r>
            <w:r w:rsidRPr="00724767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pracownicy bibliotek,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24767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pracownicy domów kultury i innych instytucji prowadzących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ajęcia dla dzieci i młodzieży, </w:t>
            </w:r>
            <w:r w:rsidRPr="0072476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osoby </w:t>
            </w:r>
            <w:r w:rsidRPr="00724767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posiadające kwalifikacje pedagogiczne, prowadząc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działalność szkoleniową lub/i </w:t>
            </w:r>
            <w:r w:rsidRPr="00724767">
              <w:rPr>
                <w:rFonts w:ascii="Arial" w:hAnsi="Arial" w:cs="Arial"/>
                <w:bCs/>
                <w:sz w:val="18"/>
                <w:szCs w:val="20"/>
                <w:lang w:val="pl-PL"/>
              </w:rPr>
              <w:t>doradczą na rzecz kadr edukacji lub/i wspomaganie szkół w ramach zatr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udnienia lub </w:t>
            </w:r>
            <w:r w:rsidRPr="00724767">
              <w:rPr>
                <w:rFonts w:ascii="Arial" w:hAnsi="Arial" w:cs="Arial"/>
                <w:bCs/>
                <w:sz w:val="18"/>
                <w:szCs w:val="20"/>
                <w:lang w:val="pl-PL"/>
              </w:rPr>
              <w:t>samozatrudnienia.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37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Wymagane kwalifikacje poprzedzające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102F7E" w:rsidRPr="00724767" w:rsidRDefault="00724767" w:rsidP="0072476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24767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pełna na VI poziomie PRK oraz kwalifik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acje/przygotowanie pedagogiczne </w:t>
            </w:r>
            <w:r w:rsidRPr="00724767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potwierdzone świadectwem ukończenia pedagogicznego kurs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 kwalifikacyjnego lub dyplomem </w:t>
            </w:r>
            <w:r w:rsidRPr="00724767">
              <w:rPr>
                <w:rFonts w:ascii="Arial" w:hAnsi="Arial" w:cs="Arial"/>
                <w:bCs/>
                <w:sz w:val="18"/>
                <w:szCs w:val="20"/>
                <w:lang w:val="pl-PL"/>
              </w:rPr>
              <w:t>ukończenia studiów pedagogicznych lub ukończenia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tudiów podyplomowych nadających </w:t>
            </w:r>
            <w:r w:rsidRPr="00724767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kwalifikacje pedagogiczne.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02897">
        <w:trPr>
          <w:trHeight w:val="688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 razie potrzeby warunki, jakie musi spełniać osoba przystępująca do walidacji:</w:t>
            </w:r>
          </w:p>
          <w:p w:rsidR="00102F7E" w:rsidRPr="001F1052" w:rsidRDefault="002A6D64" w:rsidP="002A6D6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pełna na VI poziomie PRK oraz kwalifik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acje/przygotowanie pedagogiczne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potwierdzone świadectwem ukończenia pedagogicznego kurs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u kwalifikacyjnego lub dyplomem\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ukończenia studiów pedagogicznych lub ukończenia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tudiów podyplomowych nadających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kwalifikacje pedagogiczne.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56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Zapotrzebowanie na kwalifikację: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5C662E" w:rsidRDefault="002A6D64" w:rsidP="002A6D6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Wielu badaczy podkreśla, że żyjemy obecnie w świecie 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VUCA (akronim angielskich słów,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charakteryzujących współczesność: Volatility - zmienność, Uncertainty - niepewność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Complexity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- złożoność, Ambiguity - niejednoznaczność), wymagający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 od wszystkich „ciągłej nauki.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pobudzania kreatywności i zwinności” (Joanna Kucharczyk-Capig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a, Człowiek w świecie VUCA, PwC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Polska, 2019: https://www.pwc.pl/pl/artykuly/2019/czlowiek-w-sw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iecie-VUCA.html). Szczególnie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szybki postęp następuje w zakresie nowych technologii informac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yjnych i komunikacyjnych, które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w sposób gwałtowny i wielopłaszczyznowy wpływają na nasze ż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ycie, w tym na funkcjonowanie w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rolach zawodowych. Dzisiaj istotne jest zrozumienie tych z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mian oraz ich wykorzystanie dla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lepszego wypełniania swoich zadań (Zintegrowana Str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ategia Umiejętności 2030. Część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szczegółowa, zwana dalej: ZSU, s. 10) – dotyczy t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w szczególności kadr oświaty,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odpowiedzialnych za wychowanie i edukację dzieci i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młodzieży w celu przygotowania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podopiecznych do aktywnego funkcjonowania w życiu dorosł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ym, w różnych rolach, w świecie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wymagającym sprawności cyfrowej, samozarządzania, organizacj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i realizacji własnego procesu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uczenia się i rozwoju zawodowego. Strategia wyprzedzająca, powstała i opisana w pierwszym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dziesięcioleciu XX w. w USA jako flipped classroom (odwrócona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klasa), zaadaptowana pod nazwą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strategia wyprzedzająca do warunków polskich przez prof. Sta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nisława Dylaka (Stanisław Dylak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(red.), Strategia kształcenia wyprzedzającego, Ogólnopolska 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Fundacja Edukacji Komputerowej,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Poznań 2013: https://repozytorium.amu.edu.pl/handle/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10593/10966), polega odwróceniu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tradycyjnego procesu nauczania (ang. flip – odwrócenie).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tradycyjnej klasie (w jakiej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zdecydowana większość polskich uczniów funkcjonowała p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rzed pandemią Covid-19), lekcja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zaczyna się od wprowadzenia w temat przez nauczyciela (w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ykład teoretyczny lub pogadanka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dostarczające nowej wiedzy oraz podanie przez nauczyciel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przykładów ilustrujących nowe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zagadnienia). Na sprawdzenie zrozumienia zagadnienia,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ćwiczenie przez uczniów nowych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umiejętności, wyjaśnianie indywidualnych wątpliwości ucz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niów na lekcji, na ogół brakuje czasu,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uczeń jest przede wszystkim pasywnym odbiorcą nowej wiedzy przekazywanej przez nauczyciela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występującego jako źródło wiedzy. Formą sprawdzania uczniowskiej umiejętności wykorzystania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tak zdobytych nowych treści (wpisujących się w niższe poziom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 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taksonomii celów kształcenie: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wiedzę i rozumienie) najczęściej są prace domowe i to podczas i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samodzielnego wykonania, już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bez pomocy nauczyciela, uczniowie muszą dokonać czynności w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pisujących się w wyższe poziomy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celów taksonomicznych (zastosowanie, analiza, synteza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). Często występujące u uczniów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niezrozumienie materiału skutkuje porażką w wykonaniu z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adań domowych, a to z kolei ich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obniżoną samooceną, demotywacją, a czasami unikaniem nie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lubianych/niezrozumiałych zajęć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(Joanna Olszewska, Metoda "odwróconej klasy" - nowy sposób na lekcję, „Szkoła. Mi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esięcznik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dyrek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tora", sierpień 2018, s. 62-62: </w:t>
            </w:r>
          </w:p>
          <w:p w:rsidR="002A6D64" w:rsidRPr="002A6D64" w:rsidRDefault="002A6D64" w:rsidP="002A6D64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https://www.wszpwn.com.pl/wydarzenie/metoda-odwroconej-kla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>sy-nowy-sposob-na-lekcje,417.ht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ml). Praca domowa w tradycyjnym rozumieniu nie tylko 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ma bardzo słaby wpływ na sukces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edukacyjny ucznia (współczynnik wpływu 0,29, co stanowi z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aledwie 60 pozycję na liście 86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pozytywnych czynników, gdzie 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najwyższy osiąga wskaźnik 1,62: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https://visible-learning.org/backup-hattie-ranking-256-effects-2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017/), ale w wielu przypadkach,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właśnie ze względu na niewłaściwe przygotowanie go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na lekcjach do wykonania zadań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domowych, wręcz hamuje jego rozwój, Z badań Hattiego j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ednoznacznie wynika, że idealną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strategią, sprzyjającą progresowi wiedzy i umiejętności ucznia, 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jest tzw. widoczne uczenie się,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czyli aranżowanie sytuacji, „gdy nauczyciele widzą proces na</w:t>
            </w:r>
            <w:r w:rsidR="00F5669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uczania oczami swoich uczniów i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pomagają uczniom stawać się nauczycielami samych siebie, czyli lepiej, skuteczniej uczyć się”.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(o widocznym uczeniu się i badaniach Johna Hattiego: John H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attie, Widoczne uczenie się dla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nauczycieli - tytuł oryginału: Visible learning for teachers. Maximizing Impact on Learning,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Centrum Edukacji Obywatelskiej, Warszawa 2015; Marcin Polak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Osiem zasad istotnych w pracy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nauczyciela, Edunews.pl, 17.11. 2014:</w:t>
            </w:r>
          </w:p>
          <w:p w:rsidR="000C4DF3" w:rsidRPr="000C4DF3" w:rsidRDefault="002A6D64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https://www.edunews.pl/badania-i-debaty/badania/2832-osiem-z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>asad-istotnych-w-pracy nauczyci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ela). Zasadność takiego modelu nauczania potwierdzają opini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blisko 150 uczniów i uczennic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świętokrzyskich szkół zawodowych, uczestniczących w okresie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wrzesień-październik 2021 r. w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warsztatach przyszłościowych w ramach projektu part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nerskiego Powiatu Kieleckiego i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Świętokrzyskiego Centrum Doskonalenia Nauczycieli w Kie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lcach pn. „Kształcenie zawodowe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gwarancją rozwoju Powiatu Kieleckiego”. Wskazując mankament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 szkoły, w ogromnej większości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zwracali uwagę na takie utrudnienia, jak presja czasu, fro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ntalny model nauczania (wszyscy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muszą uczyć się w jednym tempie), nadmiar i bezużyteczność 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prac domowych, niewystarczające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wykorzystanie TIK (Małgorzata Jas, Izabela Juszkiewicz, Bo nie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trzeba zmienić dużo, aby wiele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zmienić. Warsztaty przyszłościowe przestrzenią partycypacji 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młodzieży we wdrażaniu zmiany w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szkole, Pismo ŚCDN w Kielca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„Inspiracje” Nr 3-4/2021, s.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41-43:https://www.ścdn.pl/dzialalnosc-scdn/inspiracje Stra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tegia wyprzedzająca odwraca ten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tradycyjny proces z korzyścią dla ucznia. W strategii wyprzedzaj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ącej z materiałem teoretycznym,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odpowiednio przygotowanym przez nauczyciela i udos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tępnionym z wykorzystaniem TIK,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uczniowie zapoznają się w domu (wiedza i rozumienie), w opty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malnie określonym czasie, ale w </w:t>
            </w:r>
            <w:r w:rsidRP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>swoim tempie, w sposób dla siebie dogodny, mogąc w razie potrzeby wielokrotnie powtarzać</w:t>
            </w:r>
            <w:r w:rsidR="000C4DF3">
              <w:t xml:space="preserve"> 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wybrane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brane partie oraz korzystać z konsultacji nauczyciela czy rów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ieśników. Dzięki temu na lekcję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stacjonarną przychodzą przygotowani, a w klasie wykonują praktyczne zadania i ćwiczenia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utrwalające i sprawdzające (zastosowanie, analiza i synteza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), najczęściej w grupach celowo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utworzonych przez nauczyciela zgodnie z poziomem o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panowania przez nich materiału.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Nauczyciel w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klasie ma możliwość monitorowania ich działań, sprawdzeni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a, czy uczniowie radzą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sobie z materiałem, może wprowadzać także aktywniejsze formy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pracy. Zmienia się jego rola –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już nie jest jedynym źródłem podawczym wiedzy - wykładow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cą, ale bardziej przewodnikiem,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moderatorem i mentorem. Uczniowie przejmują odpowiedz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ialność za zdobywanie wiedzy,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potrafią uczyć się samodzielnie i wykorzystują teorię w praktyc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e, dokonują samooceny lub oceny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koleżeńskiej. „Problem nierozumienia materiału lekcyjneg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spada do minimum, a uczniowie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przygotowani do lekcji zyskują pewność siebie niezbę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dną do aktywnego uczestnictwa w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zajęciach” (Olszewska). Kształtowanie takich postaw w proces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kształcenia wyprzedzającego,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opartego na wykorzystaniu technologii informacyjno-komunik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acyjnej, pomaga w kształtowaniu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pożądanych postaw pracownika współczesnego i przyszłego rynku pracy, na którym liczą się, i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jeszcze bardziej będą się liczyć – „umiejętności oraz gotowość do uczenia się nowych rzeczy są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wskazywane jako najcenniejszy zasób społeczeństw, które muszą sprostać niełatwym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wyzwaniom współczesności” (ZSU, s. 9). Wśród kompetencji ogólnych, które kształtują uczniowie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 procesie kształcenia wyprzedzającego, szczególnie istotnych z punktu widzenia kształcenia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zawodowego, znajdują się m.in. takie, które są związane z etosem pracy: przedsiębiorczością,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samodzielnością, odpowiedzialnością, poczuciem własnej wartości, innowacyjnością i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decyzyjnością (Stefan Kwiatkowski /red./, Kompetencje przyszłości. Tom 3 Serii Naukowej FRSE,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C4DF3"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FRSE, Warszawa 2018, s. 18: https://www.frse.org.pl/czytelnia/kompetencje-przyszlosci).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Kluczowe jest również rozwijanie na odwróconych lekcjach kompetencji cyfrowych, gdyż wraz z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rozwojem techniki i technologii, kompetencje, które jeszcze do niedawna były uznawane za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zawodowe, a nawet wysoce specjalistyczne, stopniowo zaczynają mieć charakter ogólny. Z taką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sytuacją mamy do czynienia np. w przypadku kompetencji informatycznych lub – szerzej rzecz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ujmując – informacyjnych. Z grupy tych zastrzeżonych dla wąskiego grona wtajemniczonych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przeszły do pojemnej grupy kompetencji ogólnych. Dzisiaj trudno znaleźć zawód, w którym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byłyby zbędne” (Kwiatkowski, s. 20). Rozwój tych kompetencji jest istotny zarówno dla osób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uczących się, jak i nauczających po to, aby szkoła nadążała za postępem cywilizacyjnym, a przez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to uczniowie już na szkolnych etapach edukacji formalnej w sposób naturalny poznawali i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praktycznie wykorzystywali możliwości TIK, w tym przestrzeni wirtualnych, dla własnego rozwoju.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„Potrzebne jest rozwijanie funkcjonalnych umiejętności cyfrowych definiowanych jako zbiór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wiedzy, umiejętności i postaw niezbędnych do funkcjonowania w otaczającym nas cyfrowym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świecie – a tym samym wykraczających poza umiejętności stricte informatyczne. Odpowiedzialne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korzystanie z mediów i posługiwanie się technologiami cyfrowymi obejmuje między innymi: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umiejętność korzystania z informacji (w tym zdolność do oceny wiarygodności źródeł i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świadomość zagrożeń związanych z dezinformacją), komunikowania się i współpracy z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wykorzystaniem ICT, tworzenia treści i narzędzi cyfrowych, przestrzegania zasad bezpieczeństwa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cyfrowego, a także wykorzystania metod i technik ICT w uczeniu się oraz w uczeniu innych (ZSU,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s. 10: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https://www.gov.pl/web/edukacja-i-nauka/zintegrowana-strategia-umiejetnosci-2030-czesc-szczegolowa--dokument-przyjety-przez-rade-ministrow). Jednym z obszarów rozwojowych określonych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ZSU jest „Rozwijanie umiejętności kadr uczących w edukacji formalnej”. W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uzasadnieniu tego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obszaru czytamy: „Rola kadr uczących w edukacji formalnej ulega ciągłym przeobrażeniom.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Rozwój społeczny, gospodarczy i cywilizacyjny, związany między innymi z postępem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technologicznym (…) wymusza zmiany w funkcjonowaniu instytucji edukacyjnych, a w ślad za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tym stawia przed kadrami uczącymi nowe wyzwania o charakterze dydaktycznym,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organizacyjnym i technologicznym, związane między innymi z pracą zdalną. Dla rozwoju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gospodarki opartej na innowacjach i nowoczesnych technologiach zasadnicze znaczenie ma</w:t>
            </w:r>
            <w:r w:rsidR="005C662E"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kształtowanie postaw sprzyjających innowacyjności. Tym samym metody nauczania i uczenia się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powinny w coraz większym zakresie uwzględniać potrzeby związane z kształtowaniem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proinnowacyjnych” (ZSU, s. 20). A wśród umiejętności proinnowacyjnych jest m.in.: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arządzanie sobą, rozumiane jako świadome i refleksyjne kierowanie własnym rozwojem i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funkcjonowaniem oraz własnymi działaniami. Na zarządzanie sobą składają się m.in.: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umiejętność uczenia się, gotowość do opóźnionej lub odroczonej gratyfikacji, wytrwałość,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rozwijanie zainteresowań, orientacja na przyszłość (materiały projektu pilotażowego „Szkoła dla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innowatora”, realizowanego od 2019 r. do 2022 r. przez Centrum Edukacji Obywatelskiej i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Partnerów, z inicjatywy Ministerstwa Rozwoju oraz Ministerstwa Edukacji Narodowej: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https://szkoladlainnowatora.ceo.org.pl/kompetencje-proinnowacyjne/, opracowane na podst.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raportu pod red. Jana Fazlagicia pt. Szkoła dla Innowatora: kształtowanie kompetencji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proinnowacyjnych, Kalisz 2018: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https://www.gov.pl/web/rozwoj-technologia/szko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>la-dla-innowatora-ksztaltowanie-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kompetencji-proinnowacyjnych – raport przygotowany na zlecenie Ministerstwa Przedsiębiorczości i Technologii).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„Zmieniająca się rola osób uczących wymaga ciągłego doskonalenia zawodowego w zakresie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wiedzy merytorycznej dotyczącej nauczanego przedmiotu lub prowadzonych zajęć oraz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dydaktycznych i metodycznych” (ZSU, s. 21), a osoby posiadające kwalifikację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„Koordynowanie strategii wyprzedzającej w placówkach edukacyjnych” będą dla nauczycieli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profesjonalnym wsparciem w doskonaleniu zawodowym, odbywającym się w środowisku ich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pracy, co z kolei wpisuje się w trend wymieniony w ZSU i spójny Raportem Strategia umiejętności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OECD: Polska, w którym jako szansę wskazano zwiększanie elastyczności i dostępności uczenia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się dorosłych: popularyzację uczenia się dorosłych i zwiększanie dostępności do elastycznych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form doskonalenia poprzez tworzenie programów rozwijania umiejętności w polskich miejscach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 (Zintegrowana Strategia Umiejętności 2030, s. 61). Uczenie się w miejscu pracy (on the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job) znalazły mocne miejsce w klasyfikacji zawartej w raporcie tematycznym PARP z 2019 r. pt.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Analiza sposobów uczenia się dorosłych w miejscu pracy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(https://www.parp.gov.pl/storage/publications</w:t>
            </w:r>
            <w:r w:rsidR="005C662E">
              <w:rPr>
                <w:rFonts w:ascii="Arial" w:hAnsi="Arial" w:cs="Arial"/>
                <w:bCs/>
                <w:sz w:val="18"/>
                <w:szCs w:val="20"/>
                <w:lang w:val="pl-PL"/>
              </w:rPr>
              <w:t>/pdf/Analiza-sposobw-uczenia-si-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dorosych_WCAG.pd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f). Potrzeba wsparcia nauczycieli we wdrażaniu strategii wyprzedzającej wybrzmiewa także z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zapisów ZSU: „W doskonaleniu zawodowym kadr uczących szczególną rolę zyskują nowoczesne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technologie cyfrowe, które tworzą nowe warunki dla rozwoju umiejętności w edukacji formalnej.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Polskie szkoły (…) wzbogacają swoje wyposażenie w nowoczesny sprzęt, jednak nadal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wyzwaniem jest umiejętność posługiwania się nowoczesnymi technologiami. Konieczne jest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zatem wsparcie kadr uczących w budowaniu warsztatu pracy wykorzystującego ICT (…)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codziennych aktywnościach edukacyjnych. (ZSU, s. 21) Od marca 2020 r. polscy nauczyciele i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polscy uczniowie przeszli kilkunastomiesięczny „przyspieszony kurs” realizacji procesu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nauczania-uczenia się z wykorzystaniem technik zdalnych, w tym na platformach w przestrzeni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wirtualnej. W wyniku tej nieprzewidzianej i złożonej (właściwej dla świata VUCA) zmiany nastąpił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zdecydowany wzrost ich kompetencji cyfrowych. Badania prowadzone w marcu 2021 r. przez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Wydział Pedagogiczny Uniwersytetu Warszawskiego pokazały, że „w porównaniu z czerwcem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2020 r. liczba nauczycieli prowadzących zajęcia z wykorzystaniem dedykowanych platform do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nauki zdalnej wzrosła o prawie 33 punkty procentowe (z 31% do 64%). (…) Uczniowie w swoich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ankietach (…) zauważyli znaczny wzrost liczby lekcji, do których prowadzenia wykorzystuje się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platformy do nauki zdalnej. Pedagodzy sami dostrzegają wzrost swoich umiejętności w zakresie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prowadzenia zajęć online i przyznają, że edukacja zdalna sprzyja podwyższeniu ich kompetencji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cyfrowych”. Niepokoi jednak fakt, że mimo tego obustronnego progresu kompetencji cyfrowych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gotowość do wykorzystania edukacji zdalnej jako uzupełnienia tradycyjnej formy prowadzonych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zajęć deklaruje zaledwie 39% uczestniczących w badaniu 2398 nauczycieli i dyrektorów szkół i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skłania do optymizmu fakt, że w porównaniu z marcem 2020 r. wystąpił czteropunktowy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wzrost procentowy takich deklaracji (Raport 2. Zmiany w edukacji zdalnej oczami nauczycieli i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uczniów, 26.04.2021: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 </w:t>
            </w:r>
            <w:r w:rsidR="002A6D64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https://portal.librus.pl/rodzina/artykuly/raport-2-zmiany-w-edukacji-zdalnej-oczami-nauczycieli-i-uczniow-1). Tymczasem w edukacji zdalnej nauczyciele powszechnie zaczęli posługiwać się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różnymi komunikatorami, nauczyli się organizować pracę zdalną. (…) Ośmielili się na działania,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na które wcześniej nie mieli odwagi. Warto i trzeba to wykorzystać w szkole po pandemii i nie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wracać do sytuacji, w której nasze szersze dziś możliwości, ponownie zubożymy (Danuta Sterna,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Jakie szanse stawia przed nami doświadczenie zdalnego nauczania? Cz. III, blog CEO, 9.05.2020: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https://blog.ceo.org.pl/jakie-szanse-stawia-przed-nami-doswiadczenie-zdalnego-nauczania-cz-iii/).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Jedną z tych szans jest wdrożenie do codziennej pracy nauczycieli strategii wyprzedzającej. Prof.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dr hab. Jan Fazlagić w wykładzie podczas I Ogólnopolskiego Forum Doskonalenia Kadr Oświaty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pn. Quo vadis, uczący się nauczycielu, zorganizowanym 14 czerwca 2021 r. w Kielcach przez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Świętokrzyskie Centrum Doskonalenia Nauczycieli, w oparciu o naukową analizę licznych źródeł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informacji, wskazał wyzwania dla współczesnych nauczycieli, którym będą musieli sprostać w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perspektywie najbliższych 4-6 lat. Wśród nich znalazło się m.in. przesłanie: „Kiedyś lub dziś: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zarządzanie pracą zespołową uczniów, kontrola realizacji zadań domowych, stworzenie systemu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 uczniów. Niedługo: personalizacja pracy uczniów, odwrócona klasa, dbanie o interakcje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między uczniami” (Jan Fazlagić, Quo vadis, uczący się nauczycielu?, prezentacja i nagranie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wykładu w: Pismo ŚCDN „Inspiracje” Nr 3-4/2021, s.8-9: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https://www.scdn.pl/dzialalnosc-scdn/inspiracje W raporcie pt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Szkoła ponownie czy szkoła od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nowa? Jak wygląda powrót do stacjonarnej edukacji? opr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acowanym przez Centrum Edukacji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Obywatelskiej uzasadniono tezę, że moment powrotu do edukacji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stacjonarnej jest kluczowy dla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polskiej edukacji w kolejnych latach. W opracowaniu czytamy: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„Nie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da się wrócić do szkoły sprzed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pandemii. Jeśli nie wprowadzimy odpowiednich zmian i przeobrażeń, pog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łębią się nierówności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edukacyjne wewnątrz szkół i pomiędzy nimi, zwiększy s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ię skala niepożądanych zachowań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uczniów, wzrośnie stopień wypalenia zawodowego nauczycieli i dystans uczniów do szkoły.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Sposób powrotu do szkół (…) zdeterminuje kształt polskiej szkoły 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 kolejne lata. Od nas zależy,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czy w krytycznym momencie postawimy na odtworzenie szkolnych 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rutyn i tradycji, czy tworzenie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środowiska sprzyjającego uczeniu się. Rzetelne podsumowanie d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oświadczenia edukacji zdalnej i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wnioski, które możemy wyciągnąć z tej refleksji, mogą pozwo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lić nam wyobrazić sobie na nowo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szkołę, do której chce się wracać. Taka okazja długo się nie powtór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zy”. (Jędrzej Witkowski /red./,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Szkoła ponownie czy szkoła od nowa? Jak wygląda powrót do 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stacjonarnej edukacji?, Centrum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Edukacji Obywatelskiej, Warszawa 2021, s. 6: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https://ceo.org.pl/sites/default/files/szkola_ponownie_czy_szkol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>a_od_nowa_publikacja_centrum_ed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ukacji_obywatelskiej_czerwiec2021.pdf). Czas powrotu do 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kształcenia stacjonarnego warto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wykorzystać do szybkiego włączenia do usług na rzecz nauczyc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ieli i szkół osób posiadających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kwalifikację “Koordynowanie strategii wyprzedzającej w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placówkach edukacyjnych”, gdyż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sprzyjają temu także potrzeby i oczekiwania uczniów i uczenni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c. „Doświadczenie uczenia się w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domu dało im przyspieszoną lekcję samodzielności i brania odp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owiedzialności za swoje uczenie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się. Choć opinie o skuteczności zdalnej nauki są podzielon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e, wielu respondentów chciałoby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zachować większy poziom elastyczności i samodzielności w dec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ydowaniu o tym, czego i jak się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uczą, również w edukacji stacjonarnej. Wyzwaniem dla szkół b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ędzie odpowiedzenie na potrzeby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tej grupy młodych ludzi przy jednoczesnym zadbaniu o u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czniów mniej samodzielnych. Dla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zdecydowanej większości badanych uczniów ważne jest, żeby k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ontynuować korzystanie w szkole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z nowych technologii. Dostęp do materiałów online ułatwiał na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ukę 84 proc. uczniów z próby, a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praca na sprzęcie komputerowym pomagała w przyswajaniu wiedzy ponad 60 proc. badanych.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Nauczyciele nie powinni więc zdaniem uczniów rezygnować ani radykalnie ograniczać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korzystania z tych form również po powrocie do nauki stacjonarnej (Witkowski, s. 21-22).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Uczniowie oczekują większej elastyczności szkoły w stosowaniu zmiennyc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 form nauczania (w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tym edukacji hybrydowej), pozostawiania po stronie uczniów 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większej odpowiedzialności oraz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wpływu na to, czego i jak są uczeni. „Uczniowie, którzy doświa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dczyli samodzielności, boją się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ponownego wpisania w sztywne ramy szkoły. Jednocześnie wciąż ważny jest dla nich kontakt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osobisty – ze sobą nawzajem oraz z nauczycielem” (Witkows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ki, s. 37). Te warunki zapewnia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strategia wyprzedzająca, w której równie istotny jest e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tap samodzielnej pracy ucznia w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przestrzeni wirtualnej, jak i jego spersonalizowane uczenie się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grupie rówieśniczej na bazie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zdobytych samodzielnie wiadomości. Jej wdrożenie przy wsparciu 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osób posiadających kwalifikację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„Koordynowanie strategii wyprzedzającej w placówkach edukacy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jnych” pozwoli na „zniwelowanie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rozbieżność pomiędzy tym, co mówi nauka i specjaliści, między b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adaniami i tym, co działa i się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sprawdza, a kierunkiem, w jakim edukacja idzie. Edukacja tkwi w rozwiązaniach, które są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nieprzystające nie tylko do dzisiejszych, rzeczywistych potrzeb dzieci, ale również do teg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o, czego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będzie się od nich oczekiwać w przyszłości. Konieczne są grun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towne zmiany całego paradygmatu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myślenia o edukacji. Akcenty stawia się nie tam, gdzie trzeba. Nie 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 rozwój i na potrzeby, nie na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kształcenie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umiejętności potrzebnych w zmieniającym się świe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cie, a na przekazywanie wiedzy,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której po pierwsze jest za dużo, po drugie jest ona wyrwana z kon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tekstu i która na domiar złego,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kiedy trafia do podręczników, nierzadko jest już nieaktualn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a. (…) Powinno być mniej presji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związanej z przyswajaniem informacji, a więcej skupiania się 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 uczniach, na tym, co jest im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potrzebne: na umiejętności skutecznego rozwiązywania pro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blemów, radzeniu sobie ze sobą,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także z frustracją, stresem; pozwoleniu na eksperymentowanie,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popełnianie błędów (Przyszłość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edukacji. Scenariusze 2046, Infuture Institute we współpracy z Collegium da Vinci, 2021, s. 33: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https://infuture.institute/raporty/przyszlosc-edukacji/). Będzie także odpowiedzią na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rekomendację, opisaną w raporcie Przyszłość edukacji. Scenariusze 2046: „Umiejętne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wykorzystanie nowych technologii i innowacyjnyc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 rozwiązań w edukacji. Większa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interaktywność i multimedialność. Nabycie kompetencji 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cyfrowych (przez uczniów, ale i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nauczycieli/wykładowców), edukacja w tym zakresie. Korzys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tanie w sposób odpowiedzialny i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krytyczny z nieograniczonych strumieni danych i źródeł wiedzy online. Rozwój cyfrowych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narzędzi umożliwiających uczenie się różnymi sposobami, w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wybranym przez siebie czasie i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miejscu (tzw. self-study)” (Przyszłość edukacji…, s. 36). Za włączeniem kwalifikacji do ZRK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przemawiają zatem liczne, wskazane wyżej przesłan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ki wynikające ze zmian w prawie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oświatowym, z rekomendacji zawartych w raportach i dokumen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tach strategicznych. Istotne są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również argumenty dotyczące najnowszej wiedzy psychologiczno-pedagogiczne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 oraz trendów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dynamicznie rozwijających się technologii informacyjno-komunika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cyjnej. Kwalifikacji przyczynia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się do podniesienia jakości edukacji oraz efektywności kszta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łcenia współczesnych uczniów. 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Jędrzej Witkowski (red.), Magdalena Fac-Skhirtladze, Michał Tra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garz, Elżbieta Krawczyk, Sylwia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Żmijewska-Kwiręg, Szkoła ponownie czy szkoła od nowa? Jak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wygląda powrót do stacjonarnej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edukacji?, Centrum Edukacj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Obywatelskiej, Warszawa 2021: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https://ceo.org.pl/sites/default/files/szkola_ponownie_czy_szkola_od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>_nowa_publikacja_centrum_ed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ukacji_o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>bywatelskiej_czerwiec2021.pdf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Edukacja przyszłości 2020. Raport.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http://uwm.edu.pl/trendy/gfx/raporty/EDUKACJA-TREN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>DY-RAPORT-2020-PREZENTACJA.pdf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Raport Zdalna edukacja - gdzie byliśmy, dokąd idziemy?, Warszawa 2020: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https://ug.edu.pl/news/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>sites/ug.edu.pl.news/files/2020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06/Bad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>anie%20zdalnenauczanie_prezenta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>cja_1.pdf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Rozporządzenia Ministra Edukacji Narodowej w sprawie: podstawy programowej (dla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szkół podstawowych i ponadpodstawowych), zasad organizacji i udzielania pomocy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psychologiczno-pedagogicznej, warunków organizowania kształcenia, wychowania i opieki dla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dzieci i młodzieży posiadających orzeczenie o potr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zebie kształcenia specjalnego 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Stanisław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Dylak, Strategia kształcenia wyprzedzającego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(http://www.epublikacje.edu.pl/2013/10/strategia-ksztacenia-wyprzedzajacego.html;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http://edukacjaidialog.pl/news/strategia_wyprzedzajaca_tradycyjna_lekcje,1966.html i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https://www.edunews.pl/nowoczesna-edukacja/innowacje-w-eduk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>acji/2330-strategia-wyprzedzaja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ca-tradycyjna-lekc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je; ), 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Przyszłość edukacji. Scenariusze 2046, Infuture Institute i Collegium Da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Vinci, Gdańsk-Poznań 2021: </w:t>
            </w:r>
            <w:hyperlink r:id="rId8" w:history="1">
              <w:r w:rsidR="00E44B5B" w:rsidRPr="00B6642A">
                <w:rPr>
                  <w:rStyle w:val="Hipercze"/>
                  <w:rFonts w:ascii="Arial" w:hAnsi="Arial" w:cs="Arial"/>
                  <w:bCs/>
                  <w:sz w:val="18"/>
                  <w:szCs w:val="20"/>
                </w:rPr>
                <w:t>https://infuture.institute/raporty/przyszlosc-edukacji/</w:t>
              </w:r>
            </w:hyperlink>
          </w:p>
          <w:p w:rsidR="001B06B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Zintegrowa</w:t>
            </w:r>
            <w:r w:rsidR="006152C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 Strategia Umiejętności 2030: </w:t>
            </w:r>
            <w:hyperlink r:id="rId9" w:history="1">
              <w:r w:rsidR="006152C9" w:rsidRPr="001C7AFA">
                <w:rPr>
                  <w:rStyle w:val="Hipercze"/>
                  <w:rFonts w:ascii="Arial" w:hAnsi="Arial" w:cs="Arial"/>
                  <w:bCs/>
                  <w:sz w:val="18"/>
                  <w:szCs w:val="20"/>
                  <w:lang w:val="pl-PL"/>
                </w:rPr>
                <w:t>https://www.ore.edu.pl/2021/08/zintegrowana-strategia-umiejetnosci/</w:t>
              </w:r>
            </w:hyperlink>
          </w:p>
          <w:p w:rsidR="006152C9" w:rsidRPr="00102F7E" w:rsidRDefault="006152C9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683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102F7E" w:rsidRPr="001F1CA8" w:rsidRDefault="000C4DF3" w:rsidP="0072476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Typowe możliwości wykorzystania kwalifikacji: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kwalifikację „Koordynowanie strategii wyprzedzającej w placówkach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edukacyjnych” może ubiegać się o powierzenie zadań koordynatora strategii wyprzedzającej w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instytucji/placówce edukacyjnej. Może prowadzić doradztwo, szkolenia i konsultacje w tym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zakresie dla nauczycieli i specjalistów zatrudnionych w szkołach, a także koordynować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wspomaganie szkoły w obszarze wdrażania i realizacji strategii wyprzedzającej. Może też być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samodzielnym koordynatorem wdrażania strategii wyprzedzającej działającym na rynku.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Zatrudnieniem osoby posiadającej tę kwalifikację mogą być zainteresowani m.in. dyrektorzy</w:t>
            </w:r>
          </w:p>
          <w:p w:rsidR="00102F7E" w:rsidRPr="00102F7E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placówek edukacyjnych odpowiedzialni za organizację doskonalenia zawodowego kadry w swojej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placówce, jednostki samorządu terytorialnego zainteresowane systemowym wdrożeniem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rozwiązań w podległych placówkach, przedsiębiorstwa administrujące zintegrowane platformy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informatyczne dla placówek edukacyjnych zainteresowane rozszerzeniem zasobów platformy i jej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funkcjonalności. Osoba posiadająca kwalifikację może prowadzić działalność naukowo-badawczą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 jej zakresie oraz popularyzować doświadczenia i wyniki tej działalności. Osoba posiadająca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kwalifikację może znaleźć zatrudnienie jako szkolny / rejonowy koordynator ds. wdrażania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strategii wyprzedzającej, trener / doradca / konsultant w tym zakresie, metodyk kształcenia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odwróconego. Wiedza i umiejętności osoby posiadającej kwalifikację “Koordynowanie strategii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wyprzedzającej w placówkach edukacyjnych” będzie użyteczna dla wydawców e-zasobów dla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nauczycieli i uczniów (adaptacja zasobów do modelu odwróconej klasy) oraz dla właścicieli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platform edukacyjnych rozbudowujących ich funkcjonalności.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Wymagania dotyczące walidacji i podmiotów przeprowadzających walidację: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 Etap weryfikacji 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1.1 Metody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 weryfikacji efektów uczenia się stosuje się następujące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metody: 1. test teoretyczny 2. analiza dowodów i deklaracji 3. obserwacja w warunkach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symulowanych 4. wywiad swobodny 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1.2 Zasoby kadrowe 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Walidację efektów uczenia się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przeprowadza komisja walidacyjna składająca się z trzech osób, z których jedna pełni rolę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Przewodniczącego. Wymagania wobec członków komisji walidacyjnej: ● magister (kwalifikacja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pełna na poziomie VII PRK) z przygotowaniem pedagogicznym, ● posiada min. 5-letnie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doświadczenie w prowadzeniu szkoleń lub innych form kształcenia w obszarze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dydaktyki/metodyki pracy z uczniami lub wykorzystania technologii informacyjnokomunikacyjnych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szkole. 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Przewodniczący komisji walidacyjnej powinien dodatkowo posiadać: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minimum dwuletnie doświadczenie w zakresie realizacji strategii wyprzedzającej w placówkach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edukacyjnych lub minimum dwuletnie doświadczenie w prowadzeniu szkoleń lub innych form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kształcenia w obszarze strategii wyprzedzającej </w:t>
            </w:r>
          </w:p>
          <w:p w:rsidR="000C4DF3" w:rsidRPr="000C4DF3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1.3 Sposób organizacji walidacji oraz warunki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organizacyjne i materialne W przypadku dokonywania analizy dowodów i deklaracji komisja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walidacyjna stosuje technikę portfolio w formie elektronicznej. Analiza jest uzupełniona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wywiadem swobodnym (rozmową z komisją) lub obserwacją w warunkach symulowanych.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Weryfikacja efektów uczenia się składa się z dwóch części. W części pierwszej wykorzystuje się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test teoretyczny. W części drugiej stosuje się metody analizy dowodów i deklaracji, obserwacji w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warunkach symulowanych oraz wywiadów. Wywiad swobodny (rozmowa kandydata z komisją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walidacyjną)y ma na celu uzupełnienie lub doprecyzowanie informacji Instytucja certyfikująca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musi zapewnić: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 analizy dowodów i deklaracji oraz wywiadu swobodnego i obserwacji w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warunkach symulowanych - salę wyposażoną w: stoliki i krzesła (dla kandydata oraz dla członków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komisji), dwa stanowiska komputerowe (dla kandydata oraz dla komisji); dostęp do Internetu;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markery, flipchart i inne materiały biurowe. Możliwe jest zastosowanie metod walidacji w formie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zdalnej przy zachowaniu wszelkich zasad zapewniania jakości oraz obowiązku sprawdzenia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wszystkich efektów uczenia się wraz z kryteriami weryfikacji. 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2. 3. Etap identyfikowania i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dokumentowania efektów uczenia się </w:t>
            </w:r>
          </w:p>
          <w:p w:rsidR="00102F7E" w:rsidRPr="00102F7E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określa się metod dla etapu identyfikowania i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dokumentowania, zasobów kadrowych, sposobu organizacji walidacji oraz warunków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organizacyjnych i materialnych etapu identyfikowania i dokumentowania.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Syntetyczna charakterystyka efektów uczenia się:</w:t>
            </w:r>
          </w:p>
          <w:p w:rsidR="00502897" w:rsidRPr="00102F7E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kwalifikację "Koordynowanie strategii wyprzedzającej w placówkach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edukacyjnych" wykorzystuje wiedzę i umiejętności z zakresu nauczania i uczenia się w oparciu o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strategię wyprzedzającą (odwrócone kształcenie – flipped learning, odwrócona klasa – flipped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classroom, nauczanie przedlekcyjne) do wspierania nauczycieli w procesie wdrażania i realizacji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strategii w szkole, na poziomie klasy, wybranych oddziałów, całej placówki. Samodzielnie, na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podstawie diagnozy potencjału i potrzeb szkoły, wspiera nauczycieli i innych klientów w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opracowaniu planu i wdrażaniu odwróconego kształcenia / odwróconych lekcji, wykorzystując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wiedzę z zakresu dydaktyki, metodyki, psychologii rozwojowej oraz specyfiki kształcenia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zdalnego. Doradza nauczycielom sposób tworzenia lub/i doboru materiałów edukacyjnych dla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uczniów adekwatnie do zaleceń podstawy programowej oraz indywidualnych potrzeb i możliwości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uczniów. Wspiera nauczycieli w monitorowaniu i ewaluacji. Udziela im informacji zwrotnych i</w:t>
            </w:r>
            <w:r w:rsidR="00E44B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sugestii dotyczących sposobów motywowania uczniów.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560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bookmarkStart w:id="0" w:name="_GoBack"/>
            <w:bookmarkEnd w:id="0"/>
          </w:p>
          <w:p w:rsidR="00367168" w:rsidRPr="00711E5B" w:rsidRDefault="00C54ABB" w:rsidP="0036716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zestawu: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Posługiwanie się wiedzą dotyczącą strategii wyprzedzającej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[godz]: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20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lastRenderedPageBreak/>
              <w:t>Poszczególne efekty uczenia się oraz kryteria weryfikacji ich osiągnięcia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1. 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Charakteryzuje strategię wyprzedzającą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– objaśnia różnice pomiędzy rolami nauczyciela i uczniów w strategii wyprzedzającej i w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tradycyjnym modelu nauczania w klasie; – omawia możliwości wykorzystania strategii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wyprzedzającej w kształceniu hybrydowym/blended learningowym; – omawia związek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strategii wyprzedzającej z kształceniem stacjonarnym w kontekście modeli uczenia się (np.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Davida Kolba) i taksonomii celów kształcenia (np. Benjamina Blooma); – opisuje rolę i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specyfikę pracy indywidualnej ucznia w nauczaniu metodą „odwróconej klasy”, z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uwzględnieniem założeń microlearningu; – opisuje rolę, miejsce i formy stacjonarnej pracy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zespołowej w nauczaniu metodą „odwróconej klasy”; – omawia korzyści dla ucznia,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nauczyciela, szkoły, systemu edukacji i rynku pracy wynikające ze stosowania strategii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wyprzedzającej w szkole; – omawia potencjalne bariery i trudności związane z realizacją</w:t>
            </w:r>
          </w:p>
          <w:p w:rsidR="00367168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strategii wyprzedzającej oraz proponuje sposoby na ich pokonywanie.</w:t>
            </w:r>
          </w:p>
          <w:p w:rsid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711E5B" w:rsidRDefault="00711E5B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2</w:t>
            </w: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. Charakteryzuje zasady bezpieczeństwa cyfrowego w dob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orze i udostępnianiu zasobów do </w:t>
            </w: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pracy uczniów w strategii wyprzedzającej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– objaśnia, jak eliminować potencjalne zagrożenia wynikające z pracy w przestrzeni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wirtualnej, wykorzystania zasobów internetu etc.; – wskazuje zewnętrzne platformy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edukacyjne oraz rozwiązania chmury edukacyjnej zapewniające bezpieczeństwo cyfrowe, w</w:t>
            </w:r>
          </w:p>
          <w:p w:rsidR="006767B3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tym uniemożliwiające dostęp do treści nieodpowiednich dla dz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ieci i młodzieży, niepożądanych 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i nielegalnych oraz uzasadnia swój wybór.</w:t>
            </w:r>
          </w:p>
          <w:p w:rsid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3. Charakteryzuje zasady stosowania praw autorskich w realizacji strategii wyprzedzającej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– omawia kwestię praw autorskich, w kontekście wykorzystania zasobów elektronicznych w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procesie dydaktycznym, w tym zasobów udostępnianych na zasadzie wolnych licencji, w</w:t>
            </w:r>
          </w:p>
          <w:p w:rsid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szczególności licencji Creative Commons (np. zasobów Zinteg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rowanej Platformy Edukacyjnej); 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– omawia kwestię praw autorskich w kontekście tworz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enia przez nauczyciela własnych 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materiałów wykorzystywanych przez niego w zadaniach wyprzedzających.</w:t>
            </w:r>
          </w:p>
          <w:p w:rsid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4. Charakteryzuje zastosowanie strategii wyprzedzające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j w pracy z uczniami na różnych </w:t>
            </w: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etapach edukacyjnych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– omawia możliwości wykorzystania strategii wyprzedzającej w kontekście specyfiki cech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rozwojowych uczniów na kolejnych etapach edukacyjnych; – charakteryzuje przykładowe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narzędzia wykorzystywane w strategii wyprzedzającej adekwatne do etapu edukacyjnego /</w:t>
            </w:r>
          </w:p>
          <w:p w:rsidR="00711E5B" w:rsidRPr="00920287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etapu rozwojowego uczniów.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3355A">
        <w:trPr>
          <w:trHeight w:val="986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711E5B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Zestaw efektów uczenia się nr 2</w:t>
            </w:r>
          </w:p>
          <w:p w:rsidR="00502897" w:rsidRPr="00711E5B" w:rsidRDefault="00832F43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Nazwa zestawu: </w:t>
            </w:r>
            <w:r w:rsidR="00711E5B" w:rsidRPr="00711E5B">
              <w:rPr>
                <w:rFonts w:ascii="Arial" w:hAnsi="Arial" w:cs="Arial"/>
                <w:bCs/>
                <w:sz w:val="18"/>
                <w:szCs w:val="18"/>
                <w:lang w:val="pl-PL"/>
              </w:rPr>
              <w:t>Wspieranie nauczycieli w planowaniu procesu nauczania opartego na strategii wyprzedzającej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Poziom PRK: </w:t>
            </w:r>
            <w:r w:rsidR="00711E5B" w:rsidRPr="00711E5B">
              <w:rPr>
                <w:rFonts w:ascii="Arial" w:hAnsi="Arial" w:cs="Arial"/>
                <w:bCs/>
                <w:sz w:val="18"/>
                <w:szCs w:val="18"/>
                <w:lang w:val="pl-PL"/>
              </w:rPr>
              <w:t>6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Orientacyjny nakład pracy [godz]:</w:t>
            </w:r>
            <w:r w:rsidR="0053355A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18"/>
                <w:lang w:val="pl-PL"/>
              </w:rPr>
              <w:t>25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Rodzaj zestawu: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18"/>
                <w:lang w:val="pl-PL"/>
              </w:rPr>
              <w:t>obowiązkowy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Poszczególne efekty uczenia się oraz kryteria weryfikacji ich osiągnięcia</w:t>
            </w:r>
          </w:p>
          <w:p w:rsidR="0053355A" w:rsidRPr="00711E5B" w:rsidRDefault="0053355A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711E5B" w:rsidRPr="00711E5B" w:rsidRDefault="00367168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1.</w:t>
            </w:r>
            <w:r w:rsidR="006767B3" w:rsidRPr="00711E5B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Wspiera nauczycieli w planowaniu wynikowym związanym ze strategią wyprzedzającą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– proponuje zagadnienia dydaktyczne do realizacji strategią wyprzedzającą, na podstawie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dokumentów programowych (np. podstawy programowej, programu nauczania; – doradza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 xml:space="preserve">nauczycielom w określaniu „kamieni milowych” nauczania w </w:t>
            </w: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 xml:space="preserve">modelu strategii wyprzedzającej </w:t>
            </w: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– cele i treści nauczania (wymagania szczegółowe);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– rekomenduje zakres, liczbę i </w:t>
            </w: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harmonogram realizacji zadań wyprzedzających, z uwzględnieniem rekomendacji zapisanych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w warunkach i sposobie realizacji podstawy programowej.</w:t>
            </w:r>
          </w:p>
          <w:p w:rsid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2. Doradza nauczycielom w obszarze oceniania postępów ucznia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– proponuje sposoby weryfikacji efektów samodzielnego uczenia się po pracy ucznia z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zadaniem wyprzedzającym; – proponuje kryteria oceniania postępów ucznia i sposoby ich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sprawdzania; – proponuje sposoby motywowania uczniów do pracy z wykorzystaniem</w:t>
            </w:r>
          </w:p>
          <w:p w:rsidR="00724767" w:rsidRPr="00711E5B" w:rsidRDefault="00711E5B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strategii wyprzedzającej.</w:t>
            </w:r>
          </w:p>
          <w:p w:rsidR="00C54ABB" w:rsidRPr="00711E5B" w:rsidRDefault="00C54ABB" w:rsidP="006767B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53355A" w:rsidRPr="00102F7E" w:rsidTr="00916B27">
        <w:trPr>
          <w:trHeight w:val="1077"/>
        </w:trPr>
        <w:tc>
          <w:tcPr>
            <w:tcW w:w="533" w:type="dxa"/>
          </w:tcPr>
          <w:p w:rsidR="0053355A" w:rsidRPr="00102F7E" w:rsidRDefault="0053355A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53355A" w:rsidRPr="00832F43" w:rsidRDefault="0053355A" w:rsidP="005335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3</w:t>
            </w:r>
          </w:p>
          <w:p w:rsidR="0053355A" w:rsidRPr="006767B3" w:rsidRDefault="0053355A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Moderowanie pracy nauczycieli tworzących zadania wyprzedzające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[godz]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25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711E5B" w:rsidRPr="00711E5B" w:rsidRDefault="00367168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1.</w:t>
            </w:r>
            <w:r w:rsidR="00711E5B"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Doradza w przygotowaniu materiałów do samodzielnej pracy uczniów w klasie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zróżnicowanej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– proponuje materiały dydaktyczne (np. zasoby wideo i audio, ćwiczenia interaktywne,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słowniki) do samodzielnej pracy ucznia; – omawia zasady tworzenia tekstu łatwego do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czytania (tekstu dostępnego dla wszystkich) i jego zastosowanie w tworzeniu zadań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wyprzedzających; – charakteryzuje narzędzia i aplikacje przydatne w tworzeniu zadań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wyprzedzających dla uczniów ze zróżnicowanymi potrzebami edukacyjnymi (np. z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orzeczeniem o potrzebie kształcenia specjalnego ze względu na niepełnosprawność (w</w:t>
            </w:r>
          </w:p>
          <w:p w:rsidR="00711E5B" w:rsidRDefault="00711E5B" w:rsidP="00711E5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szczególności uczniów niesłyszących, słabosłyszących, słabowidzących, z autyzmem – w tym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z zespołem Aspergera, z niepełnosprawnością intelektualną); – wskazuje źródła wiedzy na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temat pracy z uczniami o zróżnicowanych potrzebach edukacyjnych.</w:t>
            </w:r>
          </w:p>
          <w:p w:rsidR="00711E5B" w:rsidRDefault="00711E5B" w:rsidP="00711E5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2. Doradza sposób organizacji samodzielnej pracy uczniów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– charakteryzuje narzędzia zdalnej komunikacji z uczniem pracującym z zadaniem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wyprzedzającym; – omawia trudności występujące w pracy samodzielnej uczniów w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środowisku wirtualnym oraz sposoby radzenia sobie z nimi; – proponuje metody i techniki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sz w:val="18"/>
                <w:szCs w:val="18"/>
                <w:lang w:val="pl-PL"/>
              </w:rPr>
              <w:t>pomagające uczniom w zapamiętywaniu i rozumieniu nowych treści.</w:t>
            </w:r>
          </w:p>
          <w:p w:rsidR="0053355A" w:rsidRPr="00367168" w:rsidRDefault="0053355A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53355A" w:rsidRPr="00102F7E" w:rsidRDefault="0053355A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767B3" w:rsidRPr="00102F7E" w:rsidTr="00916B27">
        <w:trPr>
          <w:trHeight w:val="1077"/>
        </w:trPr>
        <w:tc>
          <w:tcPr>
            <w:tcW w:w="533" w:type="dxa"/>
          </w:tcPr>
          <w:p w:rsidR="006767B3" w:rsidRPr="00102F7E" w:rsidRDefault="006767B3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6767B3" w:rsidRPr="00832F43" w:rsidRDefault="006767B3" w:rsidP="006767B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</w:t>
            </w:r>
            <w:r w:rsidR="00BE432D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tów uczenia się nr 4</w:t>
            </w:r>
          </w:p>
          <w:p w:rsidR="00724767" w:rsidRPr="00554DC2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554DC2" w:rsidRP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Moderowanie pracy nauczycieli planujących aktywności uczniów w klasie</w:t>
            </w:r>
          </w:p>
          <w:p w:rsidR="006767B3" w:rsidRPr="00554DC2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6767B3" w:rsidRPr="00554DC2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[godz]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25</w:t>
            </w:r>
          </w:p>
          <w:p w:rsidR="006767B3" w:rsidRPr="00711E5B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6767B3" w:rsidRDefault="006767B3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6767B3" w:rsidRPr="0053355A" w:rsidRDefault="006767B3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554DC2" w:rsidRPr="00554DC2" w:rsidRDefault="006767B3" w:rsidP="00554DC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1.</w:t>
            </w:r>
            <w:r>
              <w:t xml:space="preserve"> </w:t>
            </w:r>
            <w:r w:rsidR="00554DC2" w:rsidRPr="00554DC2">
              <w:rPr>
                <w:rFonts w:ascii="Arial" w:hAnsi="Arial" w:cs="Arial"/>
                <w:b/>
                <w:sz w:val="18"/>
                <w:szCs w:val="18"/>
                <w:lang w:val="pl-PL"/>
              </w:rPr>
              <w:t>Doradza nauczycielom sposoby organizacji pracy uczniów na lekcji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54DC2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DC2">
              <w:rPr>
                <w:rFonts w:ascii="Arial" w:hAnsi="Arial" w:cs="Arial"/>
                <w:sz w:val="18"/>
                <w:szCs w:val="18"/>
                <w:lang w:val="pl-PL"/>
              </w:rPr>
              <w:t>– omawia zasady tworzenia par/grup uczniowskich w przestrzeni stacjonarnej; – objaśnia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DC2">
              <w:rPr>
                <w:rFonts w:ascii="Arial" w:hAnsi="Arial" w:cs="Arial"/>
                <w:sz w:val="18"/>
                <w:szCs w:val="18"/>
                <w:lang w:val="pl-PL"/>
              </w:rPr>
              <w:t>sposób aranżacji przestrzeni fizycznej sali lekcyjnej w sposób sprzyjający pracy grupowej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DC2">
              <w:rPr>
                <w:rFonts w:ascii="Arial" w:hAnsi="Arial" w:cs="Arial"/>
                <w:sz w:val="18"/>
                <w:szCs w:val="18"/>
                <w:lang w:val="pl-PL"/>
              </w:rPr>
              <w:t>uczniów, ich komunikacji i wymianie doświadczeń.</w:t>
            </w:r>
          </w:p>
          <w:p w:rsidR="00554DC2" w:rsidRDefault="00554DC2" w:rsidP="00554DC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54DC2">
              <w:rPr>
                <w:rFonts w:ascii="Arial" w:hAnsi="Arial" w:cs="Arial"/>
                <w:b/>
                <w:sz w:val="18"/>
                <w:szCs w:val="18"/>
                <w:lang w:val="pl-PL"/>
              </w:rPr>
              <w:t>2. Doradza nauczycielom sposoby monitorowania pracy uczniów na lekcji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54DC2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DC2">
              <w:rPr>
                <w:rFonts w:ascii="Arial" w:hAnsi="Arial" w:cs="Arial"/>
                <w:sz w:val="18"/>
                <w:szCs w:val="18"/>
                <w:lang w:val="pl-PL"/>
              </w:rPr>
              <w:t>– proponuje i omawia metody pracy oraz środki dydaktyczne służące wykorzystaniu zdobytej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DC2">
              <w:rPr>
                <w:rFonts w:ascii="Arial" w:hAnsi="Arial" w:cs="Arial"/>
                <w:sz w:val="18"/>
                <w:szCs w:val="18"/>
                <w:lang w:val="pl-PL"/>
              </w:rPr>
              <w:t>przez uczniów wiedzy; – planuje aktywności / zadania dla uczniów adekwatne do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DC2">
              <w:rPr>
                <w:rFonts w:ascii="Arial" w:hAnsi="Arial" w:cs="Arial"/>
                <w:sz w:val="18"/>
                <w:szCs w:val="18"/>
                <w:lang w:val="pl-PL"/>
              </w:rPr>
              <w:t>odpowiednich etapów procesu uczenia się (np. cyklu Kolba) i poziomów taksonomii (np.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DC2">
              <w:rPr>
                <w:rFonts w:ascii="Arial" w:hAnsi="Arial" w:cs="Arial"/>
                <w:sz w:val="18"/>
                <w:szCs w:val="18"/>
                <w:lang w:val="pl-PL"/>
              </w:rPr>
              <w:t>Benjamina Blooma); – charakteryzuje trudności towarzyszące pracy na lekcji oraz proponuje</w:t>
            </w:r>
          </w:p>
          <w:p w:rsidR="00724767" w:rsidRPr="00554DC2" w:rsidRDefault="00554DC2" w:rsidP="00554DC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DC2">
              <w:rPr>
                <w:rFonts w:ascii="Arial" w:hAnsi="Arial" w:cs="Arial"/>
                <w:sz w:val="18"/>
                <w:szCs w:val="18"/>
                <w:lang w:val="pl-PL"/>
              </w:rPr>
              <w:t>sposoby ich pokonywania.</w:t>
            </w:r>
          </w:p>
          <w:p w:rsidR="00BE432D" w:rsidRPr="00BE432D" w:rsidRDefault="00BE432D" w:rsidP="00BE432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6767B3" w:rsidRPr="00102F7E" w:rsidRDefault="006767B3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54DC2" w:rsidRPr="00102F7E" w:rsidTr="00916B27">
        <w:trPr>
          <w:trHeight w:val="1077"/>
        </w:trPr>
        <w:tc>
          <w:tcPr>
            <w:tcW w:w="533" w:type="dxa"/>
          </w:tcPr>
          <w:p w:rsidR="00554DC2" w:rsidRPr="00102F7E" w:rsidRDefault="00554DC2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554DC2" w:rsidRPr="00832F43" w:rsidRDefault="00554DC2" w:rsidP="00554DC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tów uczenia się nr 5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P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Wspieranie pracy nauczycieli prowadzących monitorowani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i ewaluację procesu nauczania </w:t>
            </w:r>
            <w:r w:rsidRP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opartego na strategii wyprzedzającej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[godz]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25</w:t>
            </w:r>
          </w:p>
          <w:p w:rsidR="00554DC2" w:rsidRPr="00711E5B" w:rsidRDefault="00554DC2" w:rsidP="00554DC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554DC2" w:rsidRDefault="00554DC2" w:rsidP="00554DC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554DC2" w:rsidRDefault="00554DC2" w:rsidP="00554DC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54DC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1. Wspiera nauczycieli przy projektowaniu ewaluacji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54DC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– wskazuje różnice między ewaluacją formatywną i sumatywną; – proponuje sposoby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organizacji pracy nauczycieli zaangażowanych w badania; – formułuje cele badania; –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proponuje kryteria ewaluacji procesu nauczania opartego na strategii wyprzedzającej; –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formułuje pytania kluczowe adekwatne do przyjętych kryterió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ewaluacji; – dobiera metody i </w:t>
            </w:r>
            <w:r w:rsidRP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narzędzia ewaluacji adekwatne do specyfiki respondentów.</w:t>
            </w:r>
          </w:p>
          <w:p w:rsidR="00554DC2" w:rsidRDefault="00554DC2" w:rsidP="00554DC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54DC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2. Doradza nauczycielom podczas analizy danych, formułow</w:t>
            </w:r>
            <w:r w:rsidRPr="00554DC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ania wniosków i rekomendacji do </w:t>
            </w:r>
            <w:r w:rsidRPr="00554DC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dalszej pracy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54DC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– rekomenduje metodę zbierania i analizowania danych; – objaśnia zasady formułowania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wniosków w badaniu ewaluacyjnym; – formułuje wnioski w badaniu ewaluacyjnym; –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proponuje rekomendacje do dalszej pracy nauczycieli w oparciu o sformułowane wnioski.</w:t>
            </w:r>
          </w:p>
          <w:p w:rsidR="00554DC2" w:rsidRDefault="00554DC2" w:rsidP="00554DC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54DC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3. Doradza nauczycielom monitorującym przebieg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nauczania opartego na strategii </w:t>
            </w:r>
            <w:r w:rsidRPr="00554DC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wyprzedzającej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54DC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– proponuje obszary monitorowania; – rekomenduje harmonogram monitorowania; –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proponuje sposoby postępowania w razie konieczności wprowadzenia modyfikacji działań.</w:t>
            </w:r>
          </w:p>
          <w:p w:rsidR="00554DC2" w:rsidRDefault="00554DC2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686" w:type="dxa"/>
          </w:tcPr>
          <w:p w:rsidR="00554DC2" w:rsidRPr="00102F7E" w:rsidRDefault="00554DC2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BE432D" w:rsidRDefault="00832F43" w:rsidP="00BE432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Okres ważności dokumentu potwierdzającego nadanie kwalifikacji i warunki przedłużenia jego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ważności: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554DC2" w:rsidRP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Bezterminowo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dokumentu potwierdzającego nadanie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Uprawnienia związane z posiadaniem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E4C27" w:rsidRPr="000E4C27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dziedziny kształcenia: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554DC2" w:rsidRP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142 - Nauka o kształceniu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7B3781" w:rsidRPr="007B3781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PKD: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367168" w:rsidRPr="00367168">
              <w:rPr>
                <w:rFonts w:ascii="Arial" w:hAnsi="Arial" w:cs="Arial"/>
                <w:bCs/>
                <w:sz w:val="18"/>
                <w:szCs w:val="20"/>
                <w:lang w:val="pl-PL"/>
              </w:rPr>
              <w:t>85.6 - Działalność wspomagająca edukację</w:t>
            </w:r>
          </w:p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</w:tbl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…………………………….....................………………………………</w:t>
      </w: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02F7E">
        <w:rPr>
          <w:rFonts w:ascii="Arial" w:hAnsi="Arial" w:cs="Arial"/>
          <w:i/>
          <w:sz w:val="16"/>
          <w:szCs w:val="16"/>
        </w:rPr>
        <w:t>(podpis osoby reprezentującej podmiot zgłaszający opinię w ramach konsultacji)</w:t>
      </w:r>
      <w:r w:rsidRPr="00102F7E">
        <w:rPr>
          <w:rFonts w:ascii="Arial" w:hAnsi="Arial" w:cs="Arial"/>
          <w:i/>
          <w:sz w:val="20"/>
          <w:szCs w:val="20"/>
        </w:rPr>
        <w:t xml:space="preserve"> </w:t>
      </w:r>
    </w:p>
    <w:p w:rsidR="001D763E" w:rsidRPr="00102F7E" w:rsidRDefault="001D763E" w:rsidP="007E4966"/>
    <w:sectPr w:rsidR="001D763E" w:rsidRPr="00102F7E" w:rsidSect="00213E4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46" w:rsidRDefault="00213E46" w:rsidP="00EA005D">
      <w:pPr>
        <w:spacing w:after="0" w:line="240" w:lineRule="auto"/>
      </w:pPr>
      <w:r>
        <w:separator/>
      </w:r>
    </w:p>
  </w:endnote>
  <w:endnote w:type="continuationSeparator" w:id="0">
    <w:p w:rsidR="00213E46" w:rsidRDefault="00213E46" w:rsidP="00E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044015"/>
      <w:docPartObj>
        <w:docPartGallery w:val="Page Numbers (Bottom of Page)"/>
        <w:docPartUnique/>
      </w:docPartObj>
    </w:sdtPr>
    <w:sdtEndPr/>
    <w:sdtContent>
      <w:p w:rsidR="00213E46" w:rsidRDefault="00213E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DC2">
          <w:rPr>
            <w:noProof/>
          </w:rPr>
          <w:t>15</w:t>
        </w:r>
        <w:r>
          <w:fldChar w:fldCharType="end"/>
        </w:r>
      </w:p>
    </w:sdtContent>
  </w:sdt>
  <w:p w:rsidR="00213E46" w:rsidRDefault="00213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46" w:rsidRDefault="00213E46" w:rsidP="00EA005D">
      <w:pPr>
        <w:spacing w:after="0" w:line="240" w:lineRule="auto"/>
      </w:pPr>
      <w:r>
        <w:separator/>
      </w:r>
    </w:p>
  </w:footnote>
  <w:footnote w:type="continuationSeparator" w:id="0">
    <w:p w:rsidR="00213E46" w:rsidRDefault="00213E46" w:rsidP="00EA005D">
      <w:pPr>
        <w:spacing w:after="0" w:line="240" w:lineRule="auto"/>
      </w:pPr>
      <w:r>
        <w:continuationSeparator/>
      </w:r>
    </w:p>
  </w:footnote>
  <w:footnote w:id="1">
    <w:p w:rsidR="00213E46" w:rsidRDefault="00213E46" w:rsidP="00EA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>
        <w:rPr>
          <w:sz w:val="16"/>
          <w:szCs w:val="16"/>
        </w:rPr>
        <w:t>Dz. U. z 2017 r., poz. 986, z późn. zm.</w:t>
      </w:r>
      <w:r w:rsidRPr="00A9490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313"/>
    <w:multiLevelType w:val="hybridMultilevel"/>
    <w:tmpl w:val="A21A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069"/>
    <w:multiLevelType w:val="hybridMultilevel"/>
    <w:tmpl w:val="029A4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2EC1"/>
    <w:multiLevelType w:val="hybridMultilevel"/>
    <w:tmpl w:val="B30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2AC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3352E"/>
    <w:multiLevelType w:val="hybridMultilevel"/>
    <w:tmpl w:val="CB840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04C"/>
    <w:multiLevelType w:val="hybridMultilevel"/>
    <w:tmpl w:val="7132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E5A57"/>
    <w:multiLevelType w:val="hybridMultilevel"/>
    <w:tmpl w:val="EC0E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3453B"/>
    <w:multiLevelType w:val="hybridMultilevel"/>
    <w:tmpl w:val="6A7C9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351B3"/>
    <w:multiLevelType w:val="hybridMultilevel"/>
    <w:tmpl w:val="2D34A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234A"/>
    <w:multiLevelType w:val="hybridMultilevel"/>
    <w:tmpl w:val="F1780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E3857"/>
    <w:multiLevelType w:val="hybridMultilevel"/>
    <w:tmpl w:val="586CA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D"/>
    <w:rsid w:val="00082B79"/>
    <w:rsid w:val="000C4DF3"/>
    <w:rsid w:val="000E4C27"/>
    <w:rsid w:val="00102F7E"/>
    <w:rsid w:val="001322AC"/>
    <w:rsid w:val="00177E81"/>
    <w:rsid w:val="001B06B3"/>
    <w:rsid w:val="001D763E"/>
    <w:rsid w:val="001E44B6"/>
    <w:rsid w:val="001F1052"/>
    <w:rsid w:val="001F1CA8"/>
    <w:rsid w:val="00213E46"/>
    <w:rsid w:val="002A6D64"/>
    <w:rsid w:val="002D1915"/>
    <w:rsid w:val="00330768"/>
    <w:rsid w:val="00367168"/>
    <w:rsid w:val="003E378E"/>
    <w:rsid w:val="00420C92"/>
    <w:rsid w:val="00466946"/>
    <w:rsid w:val="00502897"/>
    <w:rsid w:val="0053355A"/>
    <w:rsid w:val="00554DC2"/>
    <w:rsid w:val="005C662E"/>
    <w:rsid w:val="006152C9"/>
    <w:rsid w:val="00640E60"/>
    <w:rsid w:val="00657865"/>
    <w:rsid w:val="006730A6"/>
    <w:rsid w:val="006767B3"/>
    <w:rsid w:val="00711E5B"/>
    <w:rsid w:val="00716272"/>
    <w:rsid w:val="00724767"/>
    <w:rsid w:val="0073215D"/>
    <w:rsid w:val="007B3781"/>
    <w:rsid w:val="007E4966"/>
    <w:rsid w:val="00810EDA"/>
    <w:rsid w:val="00832F43"/>
    <w:rsid w:val="00860BC1"/>
    <w:rsid w:val="00877A10"/>
    <w:rsid w:val="00916B27"/>
    <w:rsid w:val="00920287"/>
    <w:rsid w:val="009F01A3"/>
    <w:rsid w:val="00A972C8"/>
    <w:rsid w:val="00B7723F"/>
    <w:rsid w:val="00BE432D"/>
    <w:rsid w:val="00C54ABB"/>
    <w:rsid w:val="00CF4BBB"/>
    <w:rsid w:val="00D444D1"/>
    <w:rsid w:val="00E44B5B"/>
    <w:rsid w:val="00E61BAF"/>
    <w:rsid w:val="00E66F35"/>
    <w:rsid w:val="00EA005D"/>
    <w:rsid w:val="00F20F14"/>
    <w:rsid w:val="00F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612436"/>
  <w15:docId w15:val="{6BD6E494-BABC-475A-B8CD-531BB5F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D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02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5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uture.institute/raporty/przyszlosc-edukacji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re.edu.pl/2021/08/zintegrowana-strategia-umiejet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6025</Words>
  <Characters>36156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Podrażka Agnieszka</dc:creator>
  <cp:lastModifiedBy>Maksymiuk Katarzyna</cp:lastModifiedBy>
  <cp:revision>13</cp:revision>
  <cp:lastPrinted>2018-08-31T10:17:00Z</cp:lastPrinted>
  <dcterms:created xsi:type="dcterms:W3CDTF">2022-04-21T08:21:00Z</dcterms:created>
  <dcterms:modified xsi:type="dcterms:W3CDTF">2023-01-03T11:30:00Z</dcterms:modified>
</cp:coreProperties>
</file>