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……………………….., dnia ……………</w:t>
      </w:r>
    </w:p>
    <w:p w:rsidR="00EA005D" w:rsidRPr="00102F7E" w:rsidRDefault="00EA005D" w:rsidP="007E4966">
      <w:pPr>
        <w:jc w:val="center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  <w:r w:rsidRPr="00102F7E">
        <w:rPr>
          <w:rFonts w:ascii="Arial" w:hAnsi="Arial" w:cs="Arial"/>
          <w:sz w:val="20"/>
          <w:szCs w:val="20"/>
        </w:rPr>
        <w:tab/>
      </w: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b/>
        </w:rPr>
      </w:pPr>
      <w:r w:rsidRPr="00102F7E">
        <w:rPr>
          <w:rFonts w:ascii="Arial" w:hAnsi="Arial" w:cs="Arial"/>
          <w:b/>
        </w:rPr>
        <w:t xml:space="preserve">FORMULARZ KONSULTACJI 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 zainteresowanymi środowiskami </w:t>
      </w:r>
    </w:p>
    <w:p w:rsidR="00EA005D" w:rsidRPr="00102F7E" w:rsidRDefault="00EA005D" w:rsidP="007E4966">
      <w:pPr>
        <w:spacing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wniosku o włączenie do Zintegrowanego Systemu Kwalifikacji, kwalifikacji rynkowej: </w:t>
      </w:r>
    </w:p>
    <w:p w:rsidR="00EA005D" w:rsidRPr="00877A10" w:rsidRDefault="00D977E2" w:rsidP="00877A10">
      <w:pPr>
        <w:spacing w:before="120" w:after="120"/>
        <w:jc w:val="center"/>
        <w:rPr>
          <w:i/>
        </w:rPr>
      </w:pPr>
      <w:r w:rsidRPr="00D977E2">
        <w:rPr>
          <w:i/>
        </w:rPr>
        <w:t>Koordynowanie projektów realizowanych przez dzieci i młodzież</w:t>
      </w:r>
      <w:r w:rsidR="00EA005D" w:rsidRPr="00102F7E">
        <w:rPr>
          <w:rFonts w:ascii="Arial" w:hAnsi="Arial" w:cs="Arial"/>
        </w:rPr>
        <w:t>,</w:t>
      </w:r>
    </w:p>
    <w:p w:rsidR="00EA005D" w:rsidRDefault="00EA005D" w:rsidP="007E4966">
      <w:pPr>
        <w:spacing w:before="120" w:after="12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 xml:space="preserve">złożonego przez </w:t>
      </w:r>
    </w:p>
    <w:p w:rsidR="001B06B3" w:rsidRPr="00102F7E" w:rsidRDefault="001B06B3" w:rsidP="007E4966">
      <w:pPr>
        <w:spacing w:before="120" w:after="120"/>
        <w:jc w:val="center"/>
        <w:rPr>
          <w:rFonts w:ascii="Arial" w:hAnsi="Arial" w:cs="Arial"/>
        </w:rPr>
      </w:pPr>
      <w:r w:rsidRPr="001B06B3">
        <w:rPr>
          <w:rFonts w:ascii="Arial" w:hAnsi="Arial" w:cs="Arial"/>
        </w:rPr>
        <w:t>Centrum Nowoczesnej Edukacji SCHOLAR Piotr Mazur</w:t>
      </w:r>
    </w:p>
    <w:p w:rsidR="00177E81" w:rsidRDefault="00177E81" w:rsidP="007E4966">
      <w:pPr>
        <w:spacing w:after="0"/>
        <w:jc w:val="center"/>
        <w:rPr>
          <w:i/>
        </w:rPr>
      </w:pPr>
      <w:r w:rsidRPr="00177E81">
        <w:rPr>
          <w:i/>
        </w:rPr>
        <w:t xml:space="preserve">konsultacje środowiskowe </w:t>
      </w:r>
      <w:r>
        <w:rPr>
          <w:i/>
        </w:rPr>
        <w:t>–</w:t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</w:rPr>
      </w:pPr>
      <w:r w:rsidRPr="00102F7E">
        <w:rPr>
          <w:rFonts w:ascii="Arial" w:hAnsi="Arial" w:cs="Arial"/>
        </w:rPr>
        <w:t>Konsultacje są prowadzone zgodnie z art. 19 ust. 1 ustawy z dnia 22 grudnia 2015 r. o Zintegrowanym Systemie Kwalifikacji</w:t>
      </w:r>
      <w:r w:rsidRPr="00102F7E">
        <w:rPr>
          <w:rStyle w:val="Odwoanieprzypisudolnego"/>
          <w:rFonts w:ascii="Arial" w:hAnsi="Arial" w:cs="Arial"/>
        </w:rPr>
        <w:footnoteReference w:id="1"/>
      </w: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EA005D" w:rsidRPr="00102F7E" w:rsidRDefault="00EA005D" w:rsidP="007E4966">
      <w:pPr>
        <w:spacing w:after="0"/>
        <w:rPr>
          <w:rFonts w:ascii="Arial" w:hAnsi="Arial" w:cs="Arial"/>
          <w:b/>
          <w:i/>
          <w:sz w:val="18"/>
          <w:szCs w:val="20"/>
        </w:rPr>
      </w:pPr>
      <w:r w:rsidRPr="00102F7E">
        <w:rPr>
          <w:rFonts w:ascii="Arial" w:hAnsi="Arial" w:cs="Arial"/>
          <w:b/>
          <w:i/>
          <w:sz w:val="18"/>
          <w:szCs w:val="20"/>
        </w:rPr>
        <w:t>Informacje kontaktowe:</w:t>
      </w:r>
    </w:p>
    <w:tbl>
      <w:tblPr>
        <w:tblStyle w:val="TableGridLight1"/>
        <w:tblW w:w="9230" w:type="dxa"/>
        <w:tblLayout w:type="fixed"/>
        <w:tblLook w:val="04A0" w:firstRow="1" w:lastRow="0" w:firstColumn="1" w:lastColumn="0" w:noHBand="0" w:noVBand="1"/>
      </w:tblPr>
      <w:tblGrid>
        <w:gridCol w:w="2802"/>
        <w:gridCol w:w="6428"/>
      </w:tblGrid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Imię i nazwisko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Instytucja / Organizacja wyrażająca opinię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 xml:space="preserve">Adres </w:t>
            </w:r>
          </w:p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(</w:t>
            </w:r>
            <w:r w:rsidRPr="00102F7E">
              <w:rPr>
                <w:rFonts w:ascii="Arial" w:hAnsi="Arial" w:cs="Arial"/>
                <w:i/>
                <w:sz w:val="16"/>
                <w:szCs w:val="16"/>
                <w:lang w:val="pl-PL"/>
              </w:rPr>
              <w:t>tylko w przypadku instytucji/organizacji)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Tel./fax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  <w:tr w:rsidR="00EA005D" w:rsidRPr="00102F7E" w:rsidTr="00213E46">
        <w:trPr>
          <w:trHeight w:val="552"/>
        </w:trPr>
        <w:tc>
          <w:tcPr>
            <w:tcW w:w="2802" w:type="dxa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20"/>
                <w:lang w:val="pl-PL"/>
              </w:rPr>
              <w:t>e- mail</w:t>
            </w:r>
          </w:p>
        </w:tc>
        <w:tc>
          <w:tcPr>
            <w:tcW w:w="6428" w:type="dxa"/>
            <w:hideMark/>
          </w:tcPr>
          <w:p w:rsidR="00EA005D" w:rsidRPr="00102F7E" w:rsidRDefault="00EA005D" w:rsidP="007E4966">
            <w:pPr>
              <w:snapToGrid w:val="0"/>
              <w:spacing w:line="276" w:lineRule="auto"/>
              <w:rPr>
                <w:rFonts w:ascii="Arial" w:hAnsi="Arial" w:cs="Arial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Cs w:val="20"/>
                <w:lang w:val="pl-PL"/>
              </w:rPr>
              <w:t>.......</w:t>
            </w:r>
          </w:p>
        </w:tc>
      </w:tr>
    </w:tbl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cstheme="minorHAnsi"/>
          <w:sz w:val="20"/>
          <w:szCs w:val="20"/>
        </w:rPr>
      </w:pPr>
    </w:p>
    <w:p w:rsidR="00EA005D" w:rsidRPr="00102F7E" w:rsidRDefault="00EA005D" w:rsidP="007E496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Opinia ogólna dotycząca wniosku o włączenia kwalifikacji do ZSK:</w:t>
      </w:r>
    </w:p>
    <w:p w:rsidR="00EA005D" w:rsidRPr="00102F7E" w:rsidRDefault="00EA005D" w:rsidP="007E4966">
      <w:pPr>
        <w:jc w:val="right"/>
        <w:rPr>
          <w:rFonts w:ascii="Arial" w:hAnsi="Arial" w:cs="Arial"/>
          <w:sz w:val="20"/>
          <w:szCs w:val="20"/>
        </w:rPr>
        <w:sectPr w:rsidR="00EA005D" w:rsidRPr="00102F7E" w:rsidSect="00213E46">
          <w:footerReference w:type="default" r:id="rId7"/>
          <w:pgSz w:w="11906" w:h="16838"/>
          <w:pgMar w:top="1560" w:right="1417" w:bottom="1417" w:left="1417" w:header="1073" w:footer="708" w:gutter="0"/>
          <w:cols w:space="708"/>
          <w:titlePg/>
          <w:docGrid w:linePitch="360"/>
        </w:sectPr>
      </w:pPr>
      <w:r w:rsidRPr="00102F7E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A005D" w:rsidRPr="00102F7E" w:rsidRDefault="00EA005D" w:rsidP="007E4966">
      <w:p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EA005D" w:rsidRPr="00102F7E" w:rsidRDefault="00EA005D" w:rsidP="007E496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Opinie dotyczące poszczególnych fragmentów wniosku:</w:t>
      </w:r>
    </w:p>
    <w:tbl>
      <w:tblPr>
        <w:tblStyle w:val="TableGridLight1"/>
        <w:tblW w:w="14732" w:type="dxa"/>
        <w:tblLayout w:type="fixed"/>
        <w:tblLook w:val="04A0" w:firstRow="1" w:lastRow="0" w:firstColumn="1" w:lastColumn="0" w:noHBand="0" w:noVBand="1"/>
      </w:tblPr>
      <w:tblGrid>
        <w:gridCol w:w="533"/>
        <w:gridCol w:w="7513"/>
        <w:gridCol w:w="6686"/>
      </w:tblGrid>
      <w:tr w:rsidR="00EA005D" w:rsidRPr="00102F7E" w:rsidTr="00916B27">
        <w:trPr>
          <w:trHeight w:val="680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Lp.</w:t>
            </w:r>
          </w:p>
        </w:tc>
        <w:tc>
          <w:tcPr>
            <w:tcW w:w="7513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sz w:val="18"/>
                <w:szCs w:val="18"/>
                <w:lang w:val="pl-PL"/>
              </w:rPr>
              <w:t>Opiniowany fragment wniosku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Cs/>
                <w:i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sz w:val="18"/>
                <w:szCs w:val="18"/>
                <w:lang w:val="pl-PL"/>
              </w:rPr>
              <w:t xml:space="preserve"> (strona, akapit)</w:t>
            </w:r>
          </w:p>
        </w:tc>
        <w:tc>
          <w:tcPr>
            <w:tcW w:w="6686" w:type="dxa"/>
            <w:shd w:val="clear" w:color="auto" w:fill="F2F2F2" w:themeFill="background1" w:themeFillShade="F2"/>
            <w:vAlign w:val="center"/>
            <w:hideMark/>
          </w:tcPr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</w:pPr>
            <w:r w:rsidRPr="00102F7E">
              <w:rPr>
                <w:rFonts w:ascii="Arial" w:hAnsi="Arial" w:cs="Arial"/>
                <w:b/>
                <w:color w:val="000000"/>
                <w:sz w:val="18"/>
                <w:szCs w:val="18"/>
                <w:lang w:val="pl-PL"/>
              </w:rPr>
              <w:t>Treść zgłoszonej opinii</w:t>
            </w:r>
          </w:p>
          <w:p w:rsidR="00EA005D" w:rsidRPr="00102F7E" w:rsidRDefault="00EA005D" w:rsidP="007E496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0"/>
                <w:lang w:val="pl-PL"/>
              </w:rPr>
            </w:pPr>
            <w:r w:rsidRPr="00102F7E">
              <w:rPr>
                <w:rFonts w:ascii="Arial" w:hAnsi="Arial" w:cs="Arial"/>
                <w:color w:val="000000"/>
                <w:sz w:val="18"/>
                <w:szCs w:val="18"/>
                <w:lang w:val="pl-PL"/>
              </w:rPr>
              <w:t>(propozycja zmiany, komentarz)</w:t>
            </w:r>
          </w:p>
        </w:tc>
      </w:tr>
      <w:tr w:rsidR="00EA005D" w:rsidRPr="00102F7E" w:rsidTr="00916B27">
        <w:trPr>
          <w:trHeight w:val="353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kwalifikacji: </w:t>
            </w:r>
            <w:r w:rsidR="00D977E2" w:rsidRPr="00D977E2">
              <w:rPr>
                <w:rFonts w:ascii="Arial" w:hAnsi="Arial" w:cs="Arial"/>
                <w:b/>
                <w:bCs/>
                <w:i/>
                <w:sz w:val="18"/>
                <w:szCs w:val="20"/>
                <w:lang w:val="pl-PL"/>
              </w:rPr>
              <w:t>Koordynowanie projektów realizowanych przez dzieci i młodzież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1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Proponowany poziom Polskiej Ramy Kwalifikacji: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5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107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Krótka charakterystyka kwalifikacji oraz orientacyjny koszt uzyskania dokumentu potwierdzającego otrzymanie danej kwalifikacji: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D977E2" w:rsidRPr="00D977E2" w:rsidRDefault="00D977E2" w:rsidP="00D977E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>Osoba posiadająca kwalifikację Koordynowanie projektów dziecięcych i młodzieżowych</w:t>
            </w:r>
          </w:p>
          <w:p w:rsidR="00D977E2" w:rsidRPr="00D977E2" w:rsidRDefault="00D977E2" w:rsidP="00D977E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>ukierunkowanych na rozwijanie kompetencji kluczowych jest przy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gotowana do wspierania dzieci i </w:t>
            </w: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>młodzieży na wszystkich etapach realizacji projektu - od usta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lenia zasad współpracy, poprzez </w:t>
            </w: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>jego planowanie, realizację, aż po ewaluację. Na wszystkich etapach k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oordynator daje </w:t>
            </w: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>dzieciom/młodzieży maksimum samodzielności w działaniu, dz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ięki czemu mogą rozwijać szereg </w:t>
            </w: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>cennych umiejętności i kompetencji. Stymuluje ich rozwój 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mocjonalny, rozwija umiejętność </w:t>
            </w: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 xml:space="preserve">komunikowania się, pracy w grupie, odpowiedzialność za działania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własne i zespołu. Dzięki takiej </w:t>
            </w: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>postawie i wsparciu koordynatora uczestnicy projektu rozwijają um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iejętności i kształtują postawy </w:t>
            </w: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>niezbędne do funkcjonowania w życiu społecz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nym i zawodowym (samodzielność, </w:t>
            </w: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>odpowiedzialność, rzetelność, współpraca, rozwią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zywanie problemów, planowanie i </w:t>
            </w: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>organizowanie własnych działań, korzystanie z różnych ź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ródeł informacji, prezentowanie </w:t>
            </w: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>wykonanej pracy, sztuka wystąpień publicznych, samoocena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, autorefleksja, uczenie się na </w:t>
            </w: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>błędach itp.) Koordynator szanuje autonomię uczestników projek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tu, buduje atmosferę zaufania w </w:t>
            </w: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>relacjach z nimi. Promuje kulturę projakościową, ideę wzajemne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go uczenia się oraz uczenia się </w:t>
            </w: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>przez całe życie. Osoba posiadająca kwalifikację może znaleźć za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trudnienie w szeroko rozumianej </w:t>
            </w: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>branży edukacyjnej. Kwalifikacja będzie przydatna w szczególnoś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ci na takich stanowiskach pracy </w:t>
            </w: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>jak nauczyciel, wychowawca, doradca zawodowy, biblioteka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rz, pracownik placówki kultury, </w:t>
            </w:r>
            <w:r w:rsidRPr="00D977E2">
              <w:rPr>
                <w:rFonts w:ascii="Arial" w:hAnsi="Arial" w:cs="Arial"/>
                <w:sz w:val="18"/>
                <w:szCs w:val="18"/>
                <w:lang w:val="pl-PL"/>
              </w:rPr>
              <w:t>animator itp. Orientacyjny koszt uzyskania certyfikatu: 1 000,00 zł</w:t>
            </w:r>
          </w:p>
          <w:p w:rsidR="00EA005D" w:rsidRPr="00367168" w:rsidRDefault="00EA005D" w:rsidP="00D977E2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EA005D" w:rsidRPr="00102F7E" w:rsidTr="00916B27">
        <w:trPr>
          <w:trHeight w:val="417"/>
        </w:trPr>
        <w:tc>
          <w:tcPr>
            <w:tcW w:w="533" w:type="dxa"/>
          </w:tcPr>
          <w:p w:rsidR="00EA005D" w:rsidRPr="00102F7E" w:rsidRDefault="00EA005D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EA005D" w:rsidRPr="00102F7E" w:rsidRDefault="00102F7E" w:rsidP="00640E60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potrzebny do uzyskania kwalifikacji [godz.]:</w:t>
            </w:r>
            <w:r w:rsidR="00810EDA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135</w:t>
            </w:r>
          </w:p>
        </w:tc>
        <w:tc>
          <w:tcPr>
            <w:tcW w:w="6686" w:type="dxa"/>
          </w:tcPr>
          <w:p w:rsidR="00EA005D" w:rsidRPr="00102F7E" w:rsidRDefault="00EA005D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699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Grupy osób, które mogą być zainteresowane uzyskaniem kwalifikacji:</w:t>
            </w:r>
          </w:p>
          <w:p w:rsidR="00102F7E" w:rsidRPr="00102F7E" w:rsidRDefault="00D977E2" w:rsidP="00D977E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Uzyskaniem kwalifik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acji mogą być zainteresowani: nauczyciele przedmiotów ogólnokształcących,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nauczyciele przedmiotów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awodowych, doradcy zawodowi, pracownicy bibliotek,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pracownicy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placówek kultury, studenci, wolontariusze pracujący z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dziećmi i młod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zieżą,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pracownicy organizacji pozarządowych pracujący z dziećmi i młodzieżą.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37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Wymagane kwalifikacje poprzedzające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102F7E" w:rsidRPr="00724767" w:rsidRDefault="00D977E2" w:rsidP="00D977E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Świadectwo dojrzałości (kwalifikacja pełna na poziomie IV Polski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ej Ramy Kwalifikacji, zgodnie z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art. 8 ustawy z dn. 22 grudnia 2015 r. o Zintegrowanym Systemie Kwalifikacji).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02897">
        <w:trPr>
          <w:trHeight w:val="688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 razie potrzeby warunki, jakie musi spełniać osoba przystępująca do walidacji:</w:t>
            </w:r>
          </w:p>
          <w:p w:rsidR="00D977E2" w:rsidRPr="00D977E2" w:rsidRDefault="00D977E2" w:rsidP="00D977E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przystępująca do walidacji kwalifikacji Koordynowani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projektów dziecięcych 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młodzieżowych ukierunkowanych na rozwijanie kompete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ncji kluczowych powinna spełnić następujące warunki: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posiadać świadectwo dojrzałości (kw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alifikację pełną na poziomie IV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Polskiej Ramy Kwalifikacji, zgodnie z art. 8 ustawy z dn. 22 grudnia 2015 r. o Zintegrowanym</w:t>
            </w:r>
          </w:p>
          <w:p w:rsidR="00102F7E" w:rsidRPr="001F1052" w:rsidRDefault="00D977E2" w:rsidP="00D977E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Systemie Kwalifikacji),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udokumentowane doświadczenie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pracy z dziećmi lub młodzieżą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potwierdzone rekomendacjami, na rzecz których była świadczona (minimum 3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projekty/przedsięwzięcia zrealizowane z grupą dzieci lub młod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zieży, w tym przynajmniej jeden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autorski).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562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Zapotrzebowanie na kwalifikację:</w:t>
            </w:r>
            <w:r w:rsidR="0050289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D977E2" w:rsidRPr="00D977E2" w:rsidRDefault="006152C9" w:rsidP="00D977E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Projekt zespołowy wyróżnia się tym spośród innych metod, ż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daje młodym ludziom najwięcej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możliwości rozwijania kompetencji kluczowych. Zwa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 jest “królową metod”, gdyż w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największym stopniu stwarza warunki do kreatywności, samodz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ielności i działań zespołowych.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Dzieci i młodzież pracujący tą metodą muszą być wspierani przez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koordynatora - osobę dorosłą i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bardziej od nich doświadczoną, która towarzyszy im na wszystkic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 etapach projektu. Taki sposób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uczenia się odpowiada na wyzwania i potrzeby rynku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pracy. Wszystkie kompetencje i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umiejętności rozwijane dzięki projektom są bardzo przydatne 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– zarówno w sferze prywatnej, w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relacjach społecznych oraz przede wszystkim w życ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iu zawodowym. Praca w zespołach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projektowych jest w firmach bardzo popularna, uważana jest za j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edną z kompetencji przyszłości,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a umiejętności z nią związane - są bardzo pożądane przez pra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codawców. Zalecenie Rady z dnia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22 maja 2018 r. w sprawie kompetencji kluczowych w procesie uczenia się przez całe życi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określa kompetencje kluczowe jako te, których wszyscy potrzeb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ują do samorealizacji i rozwoju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osobistego, zatrudnienia, włączenia społecznego, zrównoważone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go stylu życia, udanego życia w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pokojowych społeczeństwach, kierowania życiem w sposób prozdrowotny 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aktywnego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obywatelstwa. Rozwija się je w perspektywie uczenia się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przez całe życie, począwszy od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wczesnego dzieciństwa przez całe dorosłe życie, za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pomocą uczenia się formalnego, </w:t>
            </w:r>
            <w:proofErr w:type="spellStart"/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pozaformalnego</w:t>
            </w:r>
            <w:proofErr w:type="spellEnd"/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nieformalnego, we wszystkich kontekstach, w 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tym w rodzinie, szkole, miejscu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pracy, sąsiedztwie i innych społecznościach. Wszystkie ko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mpetencje kluczowe uważa się za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jednakowo ważne; każda z nich przyczynia się do udanego życia w społeczeńs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twie. Kompetencje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mogą być stosowane w wielu różnych kontekstach i rozmaityc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 kombinacjach. Ich zakresy się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pokrywają i są ze sobą powiązane: aspekty niezbędne w jednej d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ziedzinie wspierają kompetencje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 innej. Takie umiejętności jak krytyczne myślenie, rozwiązywa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nie problemów, praca zespołowa,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komunikacyjne i negocjacyjne, umiejętności analityc</w:t>
            </w:r>
            <w:r w:rsid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zne, kreatywność i umiejętności </w:t>
            </w:r>
            <w:r w:rsidR="00D977E2"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międzykulturowe są elementem wszystkich kompetencji kluczowych. W ramach odniesienia</w:t>
            </w:r>
          </w:p>
          <w:p w:rsidR="00D977E2" w:rsidRPr="00D977E2" w:rsidRDefault="00D977E2" w:rsidP="00D977E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ustanowiono osiem kompetencji kluczowych: 1. kompetencje w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zakresie rozumienia i tworzenia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informacji, 2. kompetencje w zakresie wielojęzyczności, 3. kompetencje matematyczne oraz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kompetencje w zakresie nauk przyrodniczych, technologii i inżynierii, 4. kompetencje cyfrowe, 5.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kompetencje osobiste, społeczne i w zakresie umiejętno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ści uczenia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 xml:space="preserve">się, 6. Kompetencje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obywatelskie, 7. kompetencje w zakresie przedsiębiorcz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ości, 8. kompetencje w zakresie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świadomości i ekspresji kulturalnej. Powyższe kompetencje zn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alazły także odzwierciedlenie w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Zintegrowanej Strategii Umiejętności 2030 (ZSU 2030). Stanowi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ona ramy strategiczne polityki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 rzecz rozwoju umiejętności niezbędnych do wzmocnienia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kapitału społecznego, włączenia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społecznego, wzrostu gospodarczego i osiągnięcia wysokiej jakości życia. W Obsza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rze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oddziaływania I UMIEJĘTNOŚCI PODSTAWOWE, PRZEKROJO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WE I ZAWODOWE DZIECI, MŁODZIEŻY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OSÓB DOROSŁYCH umiejętności przekrojowych znalazły się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takie jak: – cyfrowe; osobiste,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społeczne i w zakresie uczenia się; obywatelskie; w zakresie przedsiębiorczości;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zakresie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świadomości i ekspresji kulturalnej; w zakresie myśle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nia krytycznego i kompleksowego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rozwiązywania problemów; w zakresie pracy zespołowe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j; zdolność adaptacji do nowych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warunków; przywódcze; związane z wielokulturowością; związane z kreatywnością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innowacyjnością. Kwalifikacja Koordynowanie projektów realizow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anych przez dzieci i młodzież w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ww. obszarze wpisuje się m. in. w następujące tematy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kierunki: Temat działania 2.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Upowszechnianie istniejących oraz opracowanie i wdrażanie nowych rozwiązań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 rzecz rozwój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podstawowych i przekrojowych oraz zawo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dowych dzieci, młodzieży i osób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dorosłych: Kierunki działań: 2.1 rozwijanie i upowszechniani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efektywnych metod nauczania 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uczenia się prowadzących między innymi do umiejętności: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wykorzystywania nabytej wiedzy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odpowiednio do celu i sytuacji; stosowania twórczych rozwiązań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; utrzymania wysokiej motywacji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 uczenia się; 2.2. rozwój umiejętności osób w każdym wieku na wszystkich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etapach edukacji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formalnej, </w:t>
            </w:r>
            <w:proofErr w:type="spellStart"/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uczenia się nieformalnego. Temat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działania 3. Wspieranie rozwoju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kapitału społecznego na rzecz rozwoju umiejętności w ramach ed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ukacji formalnej, </w:t>
            </w:r>
            <w:proofErr w:type="spellStart"/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i uczenia się nieformalnego Kierunki działań: 3.1 wykorzystanie po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tencjału społeczności lokalnej,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 tym lokalnych instytucji i organizacji, na rzecz aktyw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izacji edukacyjnej, zawodowej 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prorodzinnej mieszkańców; 3.5 zwiększanie zaangażowania dziec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i, młodzieży i osób dorosłych w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życie publiczne 3.6. wspieranie współpracy instytucji i organ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izacji zajmujących się rozwojem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umiejętności na poziomie lokalnym, regionalnym, krajowym i 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międzynarodowym itp. W Obszarze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oddziaływania III ROZWIJANIE UMIEJĘTNOŚCI W ED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UKACJI FORMALNEJ - KADRY UCZĄCE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wpisuje się m. in. w następujące tematy i kierunk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Temat działania 6. Wspieranie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rozwoju umiejętności zawodowych kadr uczących w edukacji formalnej Kierunki działań:: 6.2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rozwijanie wsparcia dydaktycznego i metodycznego; 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6.3 upowszechnianie krajowych 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międzynarodowych dobrych praktyk pracy dydaktycznej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wychowawczej; 6.9 rozwijanie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interpersonalnych; 6.11 rozwijanie umiejętności pr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acy/współpracy; 6.17 rozwijanie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planowania projektów edukacyjnych, zar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ządzania projektami krajowymi 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zagranicznymi, a także środkami finansowymi tych projektów itp. 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Temat działania 7. Wspieranie 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rozwijanie procesów nadawania uprawnień do w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ykonywania zawodu nauczyciela 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funkcjonowania w zawodzie Kierunki działań: 7.1 rozwijanie ścieżek kształcenia prowadzących d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wykonywania zawodu nauczyciela; 7.2. rozwijanie możliwoś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ci przygotowania do wykonywania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zawodu; 7.4. monitorowanie, ewaluowanie i doskonalenie pr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ocesów przygotowania zawodowego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nauczycieli; 7.5. zwiększanie atrakcyjności i podnoszenie prestiżu zawodu nau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czyciela; Temat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działania 8. Rozwijanie kultury pracy szkoły oparte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 na współpracy, zespołowości 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interdyscyplinarności Kierunek działań 8.1. wypracowanie 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 wdrażanie innowacyjnych form,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metod i narzędzi pracy kadr uczących w edukacji formalnej, adekwatny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do wyzwań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współczesnej edukacji i zmieniającej się roli nauczyciela w zróż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nicowanym społeczeństwie itp. W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Obszarze oddziaływania IV ROZWIJANIE UMIEJĘTNOŚCI POZA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EDUKACJĄ FORMALNĄ kwalifikacja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wpisuje się m. in. w następujące tematy i kierunki Temat działania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13. Wspieranie kadr instytucji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spoza systemu edukacji formalnej i </w:t>
            </w:r>
            <w:proofErr w:type="spellStart"/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pozaformalnej</w:t>
            </w:r>
            <w:proofErr w:type="spellEnd"/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(realizuj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ących zadania z zakresu opieki,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wychowania i edukacji) w zakresie rozwoju umiejętności Kierunki dzia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łań: : 13.2. rozwijanie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umiejętności pracy/współpracy; 13.3. rozwijanie umiejętności in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tra- i interpersonalnych; 13.4.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rozwijanie umiejętności prowadzenia negocjacji i mediacji w celu 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rozwiązywania konfliktów; 13.5.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rozwijanie współpracy z instytucjami edukacji formalnej i </w:t>
            </w:r>
            <w:proofErr w:type="spellStart"/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pozafo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rmalnej</w:t>
            </w:r>
            <w:proofErr w:type="spellEnd"/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itp. Rynek pracy wymaga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wielu z wyżej wymienionych umiejętności: kreatywności, r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ozwiązywania problemów, działań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projektowych i zespołowych i postawy przedsiębiorczej. Teg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oczekują pracodawcy od swoich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pracowników. Te kompetencje w najwyższym stopniu zdecydują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, jak absolwent odnajdzie się w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życiu zawodowym, społecznym, kulturowym itp. dzieci i młodzi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eż powinni być wdrażani do tego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jak najwcześniej. W opinii pracodawców młodym kandyda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tom do pracy generalnie brakuje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kompetencji ogólnych: (1) społecznych (np. bycie kom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unikatywnym, łatwe nawiązywanie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kontaktów, współpraca w grupie, umiejętność posługiwania s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ię językiem polskim w mowie i w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piśmie) i (2) </w:t>
            </w:r>
            <w:proofErr w:type="spellStart"/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samoorganizacyjnych</w:t>
            </w:r>
            <w:proofErr w:type="spellEnd"/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, a także (3) kreatywności (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rozumianej jako innowacyjność 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generowanie nowych rozwiązań i pomysłów). Podobne wni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oski płyną z badań jakościowych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zrealizowanych w ramach niniejszego projektu, podczas któryc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h za uniwersalny dla wszystkich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sektorów badani uznawali problem niedoborów kompetencji ogólnych, w tym społecz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nych, a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także odpowiednich postaw wobec pracy - sumienności, odpowied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zialności, lojalności. Systemy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edukacyjne wielu krajów nie nadążają za tempem zmian, w rezu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ltacie absolwenci nie zawsze są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przygotowani do faktycznych potrzeb i pełnienia ról społecznych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 zawodowych. Podczas World </w:t>
            </w:r>
            <w:proofErr w:type="spellStart"/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Economic</w:t>
            </w:r>
            <w:proofErr w:type="spellEnd"/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Forum, które odbyło się w 2017 roku zaprezento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wano raport, według którego 65%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dzieci rozpoczynających dziś naukę w szkole będzie pracował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w zawodach, które jeszcze nie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powstały. [...] Dotychczasowy model nauczania w Polsce k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ładł przede wszystkim nacisk na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wiedzę teoretyczną. Jest ona łatwo sprawdzalna w testach.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W życiu codziennym i zawodowym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zdarza się, że taka wiedza nie jest przydatna. Częściej liczą się p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raktyczne umiejętności. Dlatego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obecnie wiele raportów na temat nowych trendów w edukacji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kładzie nacisk na potrzebę ich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opanowywania. W nowoczesnym podejściu nauczyciel nie j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est jedynym posiadaczem wiedzy,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przez co zmienia się jego rola – staje się on przede wszystkim o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rganizatorem procesu nauczania,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kimś, kto z racji większego doświadczenia oraz posiad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anych kompetencji uczy sposobów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wykorzystywania zdobytej wiedzy i łączenia jej z poprz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ednio zdobytymi wiadomościami 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nawykami. Ta rola szczególnie rośnie w przypadku kształto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wania tzw. kompetencji miękkich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związanych z komunikacją i współdziałaniem w grupie. Jest to og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romne wyzwanie dla nauczycieli,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trudniejsze tym bardziej ze względu na niewystarczające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ich przygotowanie do zawodu. W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opiniach studentów, programy studiów zawierają zbyt wiele elementów teoret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ycznych, a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znacznie mniej odwołują się do praktycznych aspektów 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wykonywania zawodu nauczyciela.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Jednym z trudniejszych nauczycielskich wyzwań jest właśnie met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oda projektu. Taki sposób pracy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wymaga zmiany roli nauczyciela - z osoby przekazującej wiedzę do o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soby wspierającej uczniów w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ich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działaniach. Od dnia 1 września 2010 roku uczniowie pol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skich gimnazjów mieli obowiązek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realizacji projektu edukacyjnego. Stało się to na mocy R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ozporządzenia Ministra Edukacji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Naro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dowej z dnia 20 sierpnia 2010 r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. Ranga tej metody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znacząco wówczas wzrosła – był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wpisywany na świadectwie ukończenia gimnazjum. Od lat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90-tych metoda projektu była z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powodzeniem stosowana w polskich szkołach, ale nie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była wystarczająco powszechna.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Doświadczenie z projektami gimnazjalnymi bardzo spopu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laryzowało projekt jako metodę.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Obecnie jest ona mocno rekomendowana w Podstawie prog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ramowej dla szkoły podstawowej.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Mimo tego formalnego wymogu (podstawa programowa) or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az wielu lat doświadczeń, praca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projektowa w szkołach jest dużym wyzwaniem. Często to,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co nazywane jest uczniowskim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projektem, to raczej kolejne duże zadanie zlecone przez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nauczyciela, a nie uczniowskie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przedsięwzięcie, nad którym samodzielnie pracowali od pomysł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 do ewaluacji, przy dyskretnym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wsparciu nauczyciela. Powodem są trudności nauczycieli w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przejściu od transmisyjnego do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relacyjnego modelu kształcenia (od przekaźnika wiedzy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do roli mentora, przewodnika 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organizatora pracy grupy). Problemy pogłębiły się w waru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nkach edukacji zdalnej. Wówczas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częściej wykorzystywane były przez nauczycieli narzędzi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a, które wiążą się z nauczaniem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metodami podającymi (wyświetlanie filmów i prezentacji, publikowanie materiałów na stronie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internetowej lub blogu), a rzadziej metodami aktywizującymi,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zwłaszcza tymi nastawionymi na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pracę zespołową (wspólna praca online). Model uczenia projek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towego może okazać się jednym z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kluczowych elementów przyszłego systemu eduk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acyjnego. Zakłada, że nauczanie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skoncentrowane jest na rozwiązywaniu zadań, mających 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charakter sekwencyjny, złożony,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niepowtarzalny i celowy. W tym modelu edukacyjnym ważne j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est to, żeby uczniowie przeszli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wszystkie etapy pracy projektowej, dochodząc samodzielnie do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rozwiązania. Koncepcja uczenia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opartego na projektach odwołuje się do zasad współpracy i koo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peracji oraz odpowiedzialności.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Zespołowość pracy projektowej dostarcza dodatkowych walor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ów. Ten model uczenia się, daje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poczucie celowości, przez co wzmacnia zaangażowanie i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efektywność nauki. Miejscem do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rozwijania kompetencji społecznych i przedsiębiorczych oraz działań projektowych j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est jednak nie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tylko szkoła. Można w ten sposób pracować także w placówkach 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kultury, klubach, organizacjach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pozarządowych itp. Polscy przedsiębiorcy, dostrzegając deficyt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 kompetencyjne u młodych ludzi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wchodzących na rynek pracy, rekomendują, aby bardziej postaw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ić na projekty, pracę grupową i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budowanie samoświadomości, uczyć przedsiębiorczości we współ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pracy z praktykami.[...] Trzeba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wychodzić poza standardowe ramy nauczania Spróbow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ać zainteresować problemem. Nie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podawać gotowego rozwiązania, a dać szansę na rozwiązanie g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przez uczniów, nawet na rożne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sposoby. Nie krytykować rozwiązań, a poddać je analizie i s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próbować rozwikłać tok myślenia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ucznia. Nauka poprzez pokazywanie/ doświadczenia różnych z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agadnień «na żywym organizmie»”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 przedsiębiorstwach, firmach, instytutach, będzie najbardzie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 efektywna . Osoby posiadające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kwalifikację Koordynowanie projektów dziecięcych i m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łodzieżowych ukierunkowanych na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rozwijanie kompetencji kluczowych będą przygotowane do t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ego, aby w profesjonalny sposób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wspierać dzieci i młodzież w realizacji projektów. Dzięki t</w:t>
            </w:r>
            <w:r w:rsid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emu pomogą im rozwinąć kluczowe </w:t>
            </w:r>
            <w:r w:rsidRPr="00D977E2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kompetencje i zwiększyć ich szanse na rynku pracy.</w:t>
            </w:r>
          </w:p>
          <w:p w:rsidR="006152C9" w:rsidRPr="00102F7E" w:rsidRDefault="006152C9" w:rsidP="00D977E2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683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502897" w:rsidRDefault="00102F7E" w:rsidP="00640E6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Odniesienie do kwalifikacji o zbliżonym charakterze oraz wskazanie kwalifikacji ujętych w ZRK zawierających wspólne zestawy efektów uczenia się: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</w:p>
          <w:p w:rsidR="00102F7E" w:rsidRPr="001F1CA8" w:rsidRDefault="004A393D" w:rsidP="004A393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„Koordynowanie projektów realizowanych przez dzieci i młodzież ukierunkow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anych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na rozwijanie kompetencji kluczowych” nie zawiera żad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nych wspólnych zestawów efektów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uczenia się z innymi kwalifikacjami cząstkowymi z obszaru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pracy projektowej. Natomiast, w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pewnym stopniu nawiązuje do istniejących już kwalifikacji: Prowadzenie prac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 wychowawczej z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grupą, Praca z dzieckiem metodą Marii Montessori, Koordyno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wanie projektów komunikacyjnych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w agencji reklamowej, Zarządzanie projektami, Realizacj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projektów interim management,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które posiadają podobne pojedyncze umiejętności: prowadzi i ws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piera komunikację w grupie,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prowadzi obserwacje i wykorzystuje informacje z przeprowadzo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nych obserwacji, charakteryzuje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organizację pracy zespołu projektowego i własnej, komuniku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je się z zespołem, identyfikuje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metody monitorowania realizacji zadań projektowych. Ponadt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część efektów uczenia się dla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kwalifikacji „Koordynowanie projektów realizowanych przez dz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ieci i młodzież ukierunkowanych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na rozwijanie kompetencji kluczowych” jest spójna z efek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tami kształcenia zdobywanymi na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kierunkach pedagogicznych, ekonomicznych i z zarządzania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oraz na studiach podyplomowych.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Absolwenci studiów w/w kierunków wprawdzie posiadają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pewien zakres wiedzy który jest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związany z realizacją metody projektów. Jednak wiedza i umiejętności zdobywane podczas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studiów nie koncentrują się na rozwijaniu kompetencji 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luczowych u dzieci i młodzieży.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„Koordynowanie projektów realizowanych przez dz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ieci i młodzież ukierunkowanych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na rozwijanie kompetencji kluczowych” zdecydowanie różni 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ię od powyżej wymienionych gdyż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zakres wiedzy jest węższy i bardziej specjalistyczny, konce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ntruje się na wyspecjalizowanej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 z dziećmi i młodzieżą. Kwalifikacja dotyczy umiejętn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ości, bezpośrednio związanych z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planowaniem działań projektowych, realizacją projektu, prezentacją efektów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projektu i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ewaluacją projektu. Ma więc bardzo praktyczny wymiar.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Typowe możliwości wykorzystania kwalifikacji:</w:t>
            </w:r>
          </w:p>
          <w:p w:rsidR="00102F7E" w:rsidRPr="00102F7E" w:rsidRDefault="004A393D" w:rsidP="004A393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kwalifikację Koordynowanie projek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tów dziecięcych i młodzieżowych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ukierunkowanych na rozwijanie kompetencji kluczowych może ub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iegać się o powierzenie funkcji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koordynatora projektu kiero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wanego do dzieci/młodzieży w: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zkole, bibliotece, placówce kultury,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organizacji pozarządowej pracującej z dziećmi i mło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dzieżą itp. Dla nauczycieli już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zatrudnionych w szkołach i placówkach, uzyskanie kwalifikacji będzie cennym doświadczen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iem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rozwojowym, które mogą wykorzystać w pracy dydaktycz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no-wychowawczej oraz zdobywaniu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kolejnych stopni awansu zawodowego. Pełnienie funkcji koordyna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tora projektu jest wymienione w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jednym z wymagań na 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opień nauczyciela dyplomowanego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. Osoba posiadająca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tę kwalifikację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może też być samodzielnym koordynatorem działającym na rynku.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Posiadanie tej kwalifikacji da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jej szansę na dalszy rozwój poprzez zaangażowanie w działania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na rzecz środowiska lokalnego,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wolontariat itp.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102F7E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Wymagania dotyczące walidacji i podmiotów przeprowadzających walidację: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 Etap weryfikacji </w:t>
            </w:r>
          </w:p>
          <w:p w:rsidR="00E44B5B" w:rsidRDefault="000C4DF3" w:rsidP="000C4DF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0C4DF3">
              <w:rPr>
                <w:rFonts w:ascii="Arial" w:hAnsi="Arial" w:cs="Arial"/>
                <w:bCs/>
                <w:sz w:val="18"/>
                <w:szCs w:val="20"/>
                <w:lang w:val="pl-PL"/>
              </w:rPr>
              <w:t>1.1 Metody</w:t>
            </w:r>
          </w:p>
          <w:p w:rsidR="00CD594C" w:rsidRDefault="004A393D" w:rsidP="004A393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Do weryfikacji efektów uczenia si</w:t>
            </w:r>
            <w:r w:rsid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ę stosuje się m.in. następujące metody: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analiza dowodów i deklaracji zawartych w portfoli</w:t>
            </w:r>
            <w:r w:rsid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o, wywiad swobodny (rozmową z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komisją). Portfolio powinno zawierać dowody świadczące o </w:t>
            </w:r>
            <w:r w:rsid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osiągnięciu określonych efektów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uczenia się (z podziałem na zestawy). Rodzaje dowodów ustala i</w:t>
            </w:r>
            <w:r w:rsid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nstytucja certyfikująca. Wywiad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swobodny (rozmowa kandydata z komisją walidacyjn</w:t>
            </w:r>
            <w:r w:rsid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ą)y ma na celu uzupełnienie lub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doprecyzowanie informacji zebranych w wyniku analizy dowodów</w:t>
            </w:r>
            <w:r w:rsid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zgromadzonych w portfolio. </w:t>
            </w:r>
          </w:p>
          <w:p w:rsidR="00CD594C" w:rsidRDefault="00CD594C" w:rsidP="004A393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1.2 </w:t>
            </w:r>
            <w:r w:rsidR="004A393D"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Zasoby kadrowe Walidację efektów uczenia się przeprowadz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 asesor walidacyjny, a końcową </w:t>
            </w:r>
            <w:r w:rsidR="004A393D"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decyzję podejmuje 3-osobowa Komisja Walidacyjna. Asesor walid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acyjny: posiada wykształcenie </w:t>
            </w:r>
            <w:r w:rsidR="004A393D"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wyższe z przygotowaniem pedagogicznym, ma doświad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czenie w zakresie koordynowania </w:t>
            </w:r>
            <w:r w:rsidR="004A393D"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projektów realizowanych przez dzieci i młodzież (minimum 10 proj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ektów w ostatnich 5 latach) lub </w:t>
            </w:r>
            <w:r w:rsidR="004A393D"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udokumentowany dorobek w obszarze pracy metodą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rojektów (minimum 5 publikacji, </w:t>
            </w:r>
            <w:r w:rsidR="004A393D"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opracowań lub przeprowadzonych szkoleń na temat projekt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ów w ostatnich 5 latach) Asesor </w:t>
            </w:r>
            <w:r w:rsidR="004A393D"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walidacyjny wchodzi w skład 3-osobowej Komisji walidacyjne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j. Pozostali członkowie Komisji </w:t>
            </w:r>
            <w:r w:rsidR="004A393D"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powinni mieć wykształcenie wyższe z przygotowani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em pedagogicznym. Sprawy sporne </w:t>
            </w:r>
            <w:r w:rsidR="004A393D"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rozstrzyga asesor walidacyjny jako przewodniczący komisji. 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ymagania wobec członków Komisji </w:t>
            </w:r>
            <w:r w:rsidR="004A393D"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Walidacyjnej: znajomość zasad prowadzenia walidacji i 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ceniania dowodów na osiągnięcie </w:t>
            </w:r>
            <w:r w:rsidR="004A393D"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efektów uczenia się zgodnie z celami walidacji i zasadami Zint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egrowanego Systemu Kwalifikacji;</w:t>
            </w:r>
            <w:r w:rsidR="004A393D"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deklaracja bezstronności </w:t>
            </w:r>
          </w:p>
          <w:p w:rsidR="00CD594C" w:rsidRPr="00CD594C" w:rsidRDefault="004A393D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1.3 Sposób organizacji walidac</w:t>
            </w:r>
            <w:r w:rsid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ji oraz warunki organizacyjne i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materialne etapu weryfikacji Analizę dowodów i deklaracji zawartych w portfoli</w:t>
            </w:r>
            <w:r w:rsid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 dokonuje asesor </w:t>
            </w:r>
            <w:r w:rsidRPr="004A393D">
              <w:rPr>
                <w:rFonts w:ascii="Arial" w:hAnsi="Arial" w:cs="Arial"/>
                <w:bCs/>
                <w:sz w:val="18"/>
                <w:szCs w:val="20"/>
                <w:lang w:val="pl-PL"/>
              </w:rPr>
              <w:t>walidacyjny. Analiza jest uzupełniona wywiadem swobodnym (rozmową z komisją) i w razie</w:t>
            </w:r>
            <w:r w:rsid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CD594C"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potrzeby testem teoretycznym. Weryfikacja za pomocą wyżej wymienionych met</w:t>
            </w:r>
            <w:r w:rsid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 może być </w:t>
            </w:r>
            <w:r w:rsidR="00CD594C"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uzupełniona innymi metodami walidacji. Aby móc przeprowadzić </w:t>
            </w:r>
            <w:r w:rsid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analizę dowodów i deklaracji na </w:t>
            </w:r>
            <w:r w:rsidR="00CD594C"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etapie weryfikacji, instytucja certyfikująca musi określić i p</w:t>
            </w:r>
            <w:r w:rsid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odać do wiadomości kandydatom:</w:t>
            </w:r>
          </w:p>
          <w:p w:rsidR="00CD594C" w:rsidRDefault="00CD594C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rodzaje dopuszczalnych dowodów i w jakiej formie powinny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być przedstawione, jakie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dodatkowe kryteria powinny spełniać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(jeśli będzie taka potrzeba), jakie są reguły oceniania (na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jakiej podstawie zostanie wydana decyzja). Instytucja certyfikuj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ąca musi zapewnić: do testu -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narzędzie do jego przeprowadzenia wraz z instrukcją obsługi.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 analizy dowodów i deklaracji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oraz wywiadu swobodnego- salę wyposażoną w: stoliki i krzesła (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dla kandydata oraz dla członków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komisji), dwa stanowiska komputerowe (dla kandydata oraz dla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komisji); dostęp do Internetu;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markery, flipchart i inne materiały biurowe. W szczeg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ólnych sytuacjach (np. sytuacja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epidemiczna ograniczająca możliwość kontaktów bezpośredni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ch kandydata z komisją) możliwe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jest zastosowanie innych metod walidacji lub jej form (np.: zdalna) przy zachowaniu wszelk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ich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zasad zapewniania jakości oraz obowiązku sprawdzenia wszyst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kich efektów uczenia się wraz z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kryteriami weryfikacji. </w:t>
            </w:r>
          </w:p>
          <w:p w:rsidR="00CD594C" w:rsidRDefault="00CD594C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Etap identyfikowania i dokumentowania efektów uczenia się </w:t>
            </w:r>
          </w:p>
          <w:p w:rsidR="00CD594C" w:rsidRPr="00CD594C" w:rsidRDefault="00CD594C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2.1 Metody</w:t>
            </w:r>
          </w:p>
          <w:p w:rsidR="00CD594C" w:rsidRDefault="00CD594C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Nie określa się metod dla etapu identyfikowania i dokumentowania </w:t>
            </w:r>
          </w:p>
          <w:p w:rsidR="00CD594C" w:rsidRDefault="00CD594C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2.2. Zasoby kadrowe </w:t>
            </w:r>
          </w:p>
          <w:p w:rsidR="00CD594C" w:rsidRPr="00CD594C" w:rsidRDefault="00CD594C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Na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etapie identyfikowania i dokumentowania kandydat może skorzystać z pomocy doradcy</w:t>
            </w:r>
          </w:p>
          <w:p w:rsidR="00CD594C" w:rsidRDefault="00CD594C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walid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acyjnego. Doradca walidacyjny: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ma doświadczenie w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akresie koordynowania projektów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realizowanych przez dzieci i mł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odzież (minimum 5 projektów),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na efekty uczenia się dla kwalifikacji,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stosuje metody identyfikowania i dokumentowania zgodnie z celami walidacji. </w:t>
            </w:r>
          </w:p>
          <w:p w:rsidR="00CD594C" w:rsidRDefault="00CD594C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2.3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Sposób organizacji walidacji oraz warunki organizacyjne i mat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erialne etapu identyfikowania i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dokumentowania </w:t>
            </w:r>
          </w:p>
          <w:p w:rsidR="00102F7E" w:rsidRPr="00102F7E" w:rsidRDefault="00CD594C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Instytucja certyfikująca zapewnia odpowie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dnie miejsce do pracy doradcy z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kandydatem. W szczególnych sytuacjach (np. sytuacja epid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emiczna ograniczająca możliwość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spotkań bezpośrednich kandydata z doradcą) możliwe jest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zastosowanie formy zdalnej tych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kontaktów.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P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Syntetyczna charakterystyka efektów uczenia się:</w:t>
            </w:r>
          </w:p>
          <w:p w:rsidR="00502897" w:rsidRPr="00102F7E" w:rsidRDefault="00CD594C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Osoba posiadająca kwalifikację Koordynowanie projek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tów dziecięcych i młodzieżowych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ukierunkowanych na rozwijanie kompetencji kluczowych jes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t przygotowana do samodzielnego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wspierania dzieci i młodzieży na wszystkich etapach reali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zacji projektu. Uzgadnia zasady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współpracy i zawiera z nimi kontrakt. Pomaga w sformułow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aniu tematu projektu. Wspiera w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identyfikowaniu zasobów i potrzeb zespołu oraz w zapl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anowaniu działań projektowych i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przydziale zadań. Towarzyszy uczniom/podopiecznym w realizacji poszczególnych etapó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projektu, wspiera w realizacji kolejnych zadań, rozwiązywaniu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roblemów i konfliktów. Prowadzi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spotkania indywidualne i grupowe z członkami zespołu. Motyw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uje ich do osiągania założonych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celów. Wspiera ich w prezentowaniu efektów realizacji projektu i pro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mocji podejmowanych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działań. Pomaga w ewaluacji działań projektowych, samoocenie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ocenie koleżeńskiej, refleksji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nad wspólną pracą i planowaniu dalszego rozwoju własnego i członków zespołu.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367168">
        <w:trPr>
          <w:trHeight w:val="560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C54ABB" w:rsidRDefault="00C54ABB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1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</w:p>
          <w:p w:rsidR="00367168" w:rsidRPr="00711E5B" w:rsidRDefault="00C54ABB" w:rsidP="00367168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54AB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Nazwa zestawu: </w:t>
            </w:r>
            <w:r w:rsidR="00CD594C"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Planowanie działań projektowych z dziećmi i młodzieżą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25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zestawu: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367168" w:rsidRPr="00367168" w:rsidRDefault="00CD594C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367168"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1. </w:t>
            </w:r>
            <w:r w:rsidRPr="00CD594C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Wspiera członków zespołu w organizacji zespołu projektowego</w:t>
            </w:r>
          </w:p>
          <w:p w:rsidR="00367168" w:rsidRPr="00367168" w:rsidRDefault="00367168" w:rsidP="00367168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367168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CD594C" w:rsidRPr="00CD594C" w:rsidRDefault="00CD594C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asystuje w opracowaniu zasad współpracy zesp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ołu projektowego (kontraktu),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określa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role (swoją i zespołu projektowego) oraz charakter wzajemnych rel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acji, objaśnia znaczenie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podziału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ról dla efektywności zespołu,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określa zakres odpowiedzialności za efekty wspólnej</w:t>
            </w:r>
          </w:p>
          <w:p w:rsidR="00711E5B" w:rsidRDefault="00CD594C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>pracy,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stosuje zasady przyjaznej komunikacji (werbalnej i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niewerbalnej) z uwzględnieniem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specyfiki języka danej grupy wiekowej,</w:t>
            </w:r>
          </w:p>
          <w:p w:rsidR="00CD594C" w:rsidRDefault="00CD594C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711E5B" w:rsidRDefault="00CD594C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2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. </w:t>
            </w:r>
            <w:r w:rsidRPr="00CD594C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Wspiera w zidentyfikowaniu wyzwania projektowego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711E5B" w:rsidRPr="00711E5B" w:rsidRDefault="00CD594C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formułuje pytania nakierowane na rozpoznanie potrze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b środowiska adekwatne do grupy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dziecięcej lub młodzieżowej (np. szkoły,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osiedla, miejscowości itp.),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wskazuje kryteria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wyboru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lastRenderedPageBreak/>
              <w:t>wyzwania projektowego adekwatnie do grup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y dziecięcej lub młodzieżowej,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formułuje pytania pomagające doprecyzować temat projekt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u, proponuje wartości istotne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dla realizacji projektu (np. współpraca, odpowiedzialno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ść, kreatywność, innowacyjność,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terminowość, aktywność itp.)</w:t>
            </w:r>
          </w:p>
          <w:p w:rsidR="00711E5B" w:rsidRDefault="00711E5B" w:rsidP="00711E5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711E5B" w:rsidRPr="00711E5B" w:rsidRDefault="00CD594C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3. </w:t>
            </w:r>
            <w:r w:rsidRPr="00CD594C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Wspiera w zidentyfikowaniu zasobów i potrzeb zespołu projektowego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711E5B" w:rsidRDefault="00CD594C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stosuje narzędzia pomocne w rozpoznaniu zasobów z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espołu, przydatnych w pracy nad projektem,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formułuje pytania nakierowane na rozpoznanie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potrzeb zespołu oraz ograniczeń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wewnętrznych i zewnętrznych w real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izacji projektu, proponuje sposoby optymalnego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wykorzystania zasobów i skutecznego pokonywania ograniczeń w realizacji projektu,</w:t>
            </w:r>
          </w:p>
          <w:p w:rsidR="00CD594C" w:rsidRDefault="00CD594C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711E5B" w:rsidRPr="00711E5B" w:rsidRDefault="00CD594C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4. </w:t>
            </w:r>
            <w:r w:rsidRPr="00CD594C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Wspiera zespół w planowaniu działań projektowych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Kryteria weryfikacji</w:t>
            </w:r>
          </w:p>
          <w:p w:rsidR="00711E5B" w:rsidRPr="00920287" w:rsidRDefault="00CD594C" w:rsidP="00CD594C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prezentuje sposób formułowania 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elów, np. w metodologii SMART; argumentuje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popra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wność i zasadność wyboru celu;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formułuj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e pytania ułatwiające zespołowi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poszukiwanie sposobów realizacji i określeniu efektu końc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owego projektu; stosuje różne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metody i techniki generowania pomysłów przez członków 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zespołu projektowego; udziela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informacji zwrotnej na temat planowanych działań, p</w:t>
            </w:r>
            <w:r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roponowanego przydziału zadań i </w:t>
            </w:r>
            <w:r w:rsidRPr="00CD594C">
              <w:rPr>
                <w:rFonts w:ascii="Arial" w:hAnsi="Arial" w:cs="Arial"/>
                <w:bCs/>
                <w:sz w:val="18"/>
                <w:szCs w:val="20"/>
                <w:lang w:val="pl-PL"/>
              </w:rPr>
              <w:t>harmonogramu prac zespołu</w:t>
            </w: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102F7E" w:rsidRPr="00102F7E" w:rsidTr="0053355A">
        <w:trPr>
          <w:trHeight w:val="986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711E5B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Zestaw efektów uczenia się nr 2</w:t>
            </w:r>
          </w:p>
          <w:p w:rsidR="00502897" w:rsidRPr="00711E5B" w:rsidRDefault="00832F43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Nazwa zestawu: </w:t>
            </w:r>
            <w:r w:rsidR="00CD594C" w:rsidRPr="00CD594C">
              <w:rPr>
                <w:rFonts w:ascii="Arial" w:hAnsi="Arial" w:cs="Arial"/>
                <w:bCs/>
                <w:sz w:val="18"/>
                <w:szCs w:val="18"/>
                <w:lang w:val="pl-PL"/>
              </w:rPr>
              <w:t>Realizacja projektu dziecięcego i młodzieżowego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Poziom PRK: </w:t>
            </w:r>
            <w:r w:rsidR="00CD594C">
              <w:rPr>
                <w:rFonts w:ascii="Arial" w:hAnsi="Arial" w:cs="Arial"/>
                <w:bCs/>
                <w:sz w:val="18"/>
                <w:szCs w:val="18"/>
                <w:lang w:val="pl-PL"/>
              </w:rPr>
              <w:t>5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Orientacyjny nakład pracy [</w:t>
            </w:r>
            <w:proofErr w:type="spellStart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godz</w:t>
            </w:r>
            <w:proofErr w:type="spellEnd"/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]:</w:t>
            </w:r>
            <w:r w:rsidR="0053355A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CD594C">
              <w:rPr>
                <w:rFonts w:ascii="Arial" w:hAnsi="Arial" w:cs="Arial"/>
                <w:bCs/>
                <w:sz w:val="18"/>
                <w:szCs w:val="18"/>
                <w:lang w:val="pl-PL"/>
              </w:rPr>
              <w:t>60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Rodzaj zestawu:</w:t>
            </w:r>
            <w:r w:rsidR="00711E5B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18"/>
                <w:lang w:val="pl-PL"/>
              </w:rPr>
              <w:t>obowiązkowy</w:t>
            </w:r>
          </w:p>
          <w:p w:rsidR="00502897" w:rsidRPr="00711E5B" w:rsidRDefault="00502897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Poszczególne efekty uczenia się oraz kryteria weryfikacji ich osiągnięcia</w:t>
            </w:r>
          </w:p>
          <w:p w:rsidR="0053355A" w:rsidRPr="00711E5B" w:rsidRDefault="0053355A" w:rsidP="00502897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:rsidR="00CD594C" w:rsidRDefault="00CD594C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CD594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01 - Monitoruje realizację projektów dziecięcych i młodzieżowych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711E5B" w:rsidRDefault="00CD594C" w:rsidP="00CD59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CD594C">
              <w:rPr>
                <w:rFonts w:ascii="Arial" w:hAnsi="Arial" w:cs="Arial"/>
                <w:sz w:val="18"/>
                <w:szCs w:val="18"/>
                <w:lang w:val="pl-PL"/>
              </w:rPr>
              <w:t xml:space="preserve">obserwuje aktywność zespołu projektowego, wyciąga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wnioski i reaguje adekwatnie do sytuacji, </w:t>
            </w:r>
            <w:r w:rsidRPr="00CD594C">
              <w:rPr>
                <w:rFonts w:ascii="Arial" w:hAnsi="Arial" w:cs="Arial"/>
                <w:sz w:val="18"/>
                <w:szCs w:val="18"/>
                <w:lang w:val="pl-PL"/>
              </w:rPr>
              <w:t>odpowiada na pytania i udziela informa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cji zwrotnej dotyczącej działań podejmowanych przez zespół, </w:t>
            </w:r>
            <w:r w:rsidRPr="00CD594C">
              <w:rPr>
                <w:rFonts w:ascii="Arial" w:hAnsi="Arial" w:cs="Arial"/>
                <w:sz w:val="18"/>
                <w:szCs w:val="18"/>
                <w:lang w:val="pl-PL"/>
              </w:rPr>
              <w:t>wskazuje słabe i mocne s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trony proponowanych rozwiązań, </w:t>
            </w:r>
            <w:r w:rsidRPr="00CD594C">
              <w:rPr>
                <w:rFonts w:ascii="Arial" w:hAnsi="Arial" w:cs="Arial"/>
                <w:sz w:val="18"/>
                <w:szCs w:val="18"/>
                <w:lang w:val="pl-PL"/>
              </w:rPr>
              <w:t>wskazuje sposoby działania pomocne w procesie pode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jmowania decyzji przez zespół, </w:t>
            </w:r>
            <w:r w:rsidRPr="00CD594C">
              <w:rPr>
                <w:rFonts w:ascii="Arial" w:hAnsi="Arial" w:cs="Arial"/>
                <w:sz w:val="18"/>
                <w:szCs w:val="18"/>
                <w:lang w:val="pl-PL"/>
              </w:rPr>
              <w:t>analizuje informacje pod kątem ich przydatności w 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ealizacji projektu, porządkuje </w:t>
            </w:r>
            <w:r w:rsidRPr="00CD594C">
              <w:rPr>
                <w:rFonts w:ascii="Arial" w:hAnsi="Arial" w:cs="Arial"/>
                <w:sz w:val="18"/>
                <w:szCs w:val="18"/>
                <w:lang w:val="pl-PL"/>
              </w:rPr>
              <w:t>informacje ze 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zględu na stopień ich ważności,</w:t>
            </w:r>
            <w:r w:rsidRPr="00CD594C">
              <w:rPr>
                <w:rFonts w:ascii="Arial" w:hAnsi="Arial" w:cs="Arial"/>
                <w:sz w:val="18"/>
                <w:szCs w:val="18"/>
                <w:lang w:val="pl-PL"/>
              </w:rPr>
              <w:t xml:space="preserve"> dobiera śr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odki bezpieczeństwa danych (np. </w:t>
            </w:r>
            <w:proofErr w:type="spellStart"/>
            <w:r w:rsidRPr="00CD594C">
              <w:rPr>
                <w:rFonts w:ascii="Arial" w:hAnsi="Arial" w:cs="Arial"/>
                <w:sz w:val="18"/>
                <w:szCs w:val="18"/>
                <w:lang w:val="pl-PL"/>
              </w:rPr>
              <w:t>enkryptowanie</w:t>
            </w:r>
            <w:proofErr w:type="spellEnd"/>
            <w:r w:rsidRPr="00CD594C">
              <w:rPr>
                <w:rFonts w:ascii="Arial" w:hAnsi="Arial" w:cs="Arial"/>
                <w:sz w:val="18"/>
                <w:szCs w:val="18"/>
                <w:lang w:val="pl-PL"/>
              </w:rPr>
              <w:t xml:space="preserve"> plików, prawa autorskie itp.)</w:t>
            </w:r>
          </w:p>
          <w:p w:rsidR="00CD594C" w:rsidRDefault="00CD594C" w:rsidP="00CD59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65FFB" w:rsidRDefault="00E65FF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b/>
                <w:sz w:val="18"/>
                <w:szCs w:val="18"/>
                <w:lang w:val="pl-PL"/>
              </w:rPr>
              <w:t>02 - Motywuje zespół do osiągnięcia założonych celów</w:t>
            </w:r>
          </w:p>
          <w:p w:rsidR="00711E5B" w:rsidRPr="00711E5B" w:rsidRDefault="00711E5B" w:rsidP="00711E5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C54ABB" w:rsidRDefault="00E65FFB" w:rsidP="00E65FFB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t>identyfikuje kreatywność, wkład pracy członków zespo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łu, współpracę oraz terminowość wykonywanych zadań, </w:t>
            </w: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t>udziela konstruktywnej informacji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zwrotnej na wszystkich etapach </w:t>
            </w: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t>realizacji projektu, uwzględniając wartości i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stotne dla realizacji projektu,</w:t>
            </w: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przedstawia zalety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</w:t>
            </w: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lastRenderedPageBreak/>
              <w:t>projektu i możliwości ro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zwoju, jakie daje uczestnikom, śledzi postępy i wkład pracy członków zespołu,</w:t>
            </w: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określa korzyści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wynikające z osiągnięcia celu, wymienia metody i </w:t>
            </w: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t>techniki motywacj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i,</w:t>
            </w: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dobiera metody i techniki motywac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ji w zależności od celu i grupy </w:t>
            </w: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t>wiekowej</w:t>
            </w:r>
          </w:p>
          <w:p w:rsidR="00E65FFB" w:rsidRDefault="00E65FFB" w:rsidP="00E65FFB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E65FFB" w:rsidRPr="00E65FFB" w:rsidRDefault="00E65FFB" w:rsidP="00E65F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03 - Prowadzi spotkania projektowe indywidualne i grupowe</w:t>
            </w:r>
          </w:p>
          <w:p w:rsidR="00E65FFB" w:rsidRPr="00E65FFB" w:rsidRDefault="00E65FFB" w:rsidP="00E65F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Kryteria weryfikacji</w:t>
            </w:r>
          </w:p>
          <w:p w:rsidR="00E65FFB" w:rsidRPr="00E65FFB" w:rsidRDefault="00E65FFB" w:rsidP="00E65FFB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t>opisuje stałe elementy konstrukcji spotkań w fo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rmie indywidualnej i grupowej, dobiera </w:t>
            </w: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t>formy i metody pracy adekwatne do rodzaju potrze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b zespołu oraz grupy wiekowej, stosuje </w:t>
            </w: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t>nowoczesne formy komunikacji z grupą (np. komu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nikatory, FB, aplikacje, itp.), formułuje </w:t>
            </w: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t>pytania ułatwiające członkom zespołu podsumowanie dane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go etapu prac projektowych oraz </w:t>
            </w: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t>indywidualnego wkładu w pracę zespołu na tym etapie</w:t>
            </w:r>
          </w:p>
          <w:p w:rsidR="00E65FFB" w:rsidRDefault="00E65FFB" w:rsidP="00E65FFB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  <w:p w:rsidR="00E65FFB" w:rsidRPr="00E65FFB" w:rsidRDefault="00E65FFB" w:rsidP="00E65F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04 - Wspiera zespół w rozwiązywaniu problemów i konfliktów</w:t>
            </w:r>
          </w:p>
          <w:p w:rsidR="00E65FFB" w:rsidRPr="00E65FFB" w:rsidRDefault="00E65FFB" w:rsidP="00E65FF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Kryteria weryfikacji</w:t>
            </w:r>
          </w:p>
          <w:p w:rsidR="00E65FFB" w:rsidRDefault="00E65FFB" w:rsidP="00E65FFB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t>analizuje sytuację i wyciąga wnioski, służące znale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zieniu rozwiązania problemu lub konfliktu, </w:t>
            </w: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t>formułuje pytania ułatwiające członkom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zespołu poszukiwanie rozwiązań problemu lub konfliktu, </w:t>
            </w: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t>proponuje sposoby wsparcia zes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połu w rozwiązaniu problemu lub konfliktu,</w:t>
            </w:r>
            <w:r w:rsidRPr="00E65FFB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 wskazuje słabe i mocne strony proponowanych rozwiązań problemu lub konfliktu</w:t>
            </w:r>
          </w:p>
          <w:p w:rsidR="00E65FFB" w:rsidRPr="00711E5B" w:rsidRDefault="00E65FFB" w:rsidP="00E65FFB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  <w:tr w:rsidR="0053355A" w:rsidRPr="00102F7E" w:rsidTr="00916B27">
        <w:trPr>
          <w:trHeight w:val="1077"/>
        </w:trPr>
        <w:tc>
          <w:tcPr>
            <w:tcW w:w="533" w:type="dxa"/>
          </w:tcPr>
          <w:p w:rsidR="0053355A" w:rsidRPr="00102F7E" w:rsidRDefault="0053355A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53355A" w:rsidRPr="00832F43" w:rsidRDefault="0053355A" w:rsidP="0053355A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efektów uczenia się nr 3</w:t>
            </w:r>
          </w:p>
          <w:p w:rsidR="0053355A" w:rsidRPr="006767B3" w:rsidRDefault="0053355A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E65FFB" w:rsidRPr="00E65FFB">
              <w:rPr>
                <w:rFonts w:ascii="Arial" w:hAnsi="Arial" w:cs="Arial"/>
                <w:bCs/>
                <w:sz w:val="18"/>
                <w:szCs w:val="20"/>
                <w:lang w:val="pl-PL"/>
              </w:rPr>
              <w:t>Prezentacja efektów projektu dziecięcego i młodzieżowego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E65FFB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53355A" w:rsidRPr="00711E5B" w:rsidRDefault="0053355A" w:rsidP="0053355A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25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:</w:t>
            </w:r>
            <w:r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53355A" w:rsidRPr="0053355A" w:rsidRDefault="0053355A" w:rsidP="0053355A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E65FFB" w:rsidRDefault="00E65FF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</w:t>
            </w:r>
            <w:r w:rsidR="00367168" w:rsidRPr="00711E5B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1.</w:t>
            </w:r>
            <w:r w:rsidR="00711E5B"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</w:t>
            </w:r>
            <w:r w:rsidRPr="00E65FFB">
              <w:rPr>
                <w:rFonts w:ascii="Arial" w:hAnsi="Arial" w:cs="Arial"/>
                <w:b/>
                <w:sz w:val="18"/>
                <w:szCs w:val="18"/>
                <w:lang w:val="pl-PL"/>
              </w:rPr>
              <w:t>Wspiera zespół w działaniach promocyjnych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711E5B" w:rsidRDefault="00E65FFB" w:rsidP="00E65FF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formułuje pytania ułatwiające członkom zespołu wyb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ór sposobów promocji projektu, 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piniuje materiały promocyjne, 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omawia z zespołem proj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ektowym możliwości zastosowania 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różnych narzędzi promocji w ramach działań projektow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ych (np. strona w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pl-PL"/>
              </w:rPr>
              <w:t>internecie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), 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proponuje i uzasadnia alternatywne rozwiązania w zakresie promocji</w:t>
            </w:r>
          </w:p>
          <w:p w:rsidR="00E65FFB" w:rsidRDefault="00E65FFB" w:rsidP="00E65FF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:rsidR="00E65FFB" w:rsidRDefault="00E65FF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b/>
                <w:sz w:val="18"/>
                <w:szCs w:val="18"/>
                <w:lang w:val="pl-PL"/>
              </w:rPr>
              <w:t>02 - Wspiera zespół w przygotowaniu prezentacji efektów projektu</w:t>
            </w:r>
          </w:p>
          <w:p w:rsidR="00711E5B" w:rsidRPr="00711E5B" w:rsidRDefault="00711E5B" w:rsidP="00711E5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711E5B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53355A" w:rsidRPr="00E65FFB" w:rsidRDefault="00E65FFB" w:rsidP="00E65FF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formułuje pytania ułatwiające członkom zespołu p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oszukiwanie optymalnego sposobu prezentacji efektów projektu, 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opiniuje proponowany sposó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b prezentacji oraz prezentowany materiał, 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proponuje alternatywne rozwiązania dotyczące sposobu prezentacji,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udziela 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wskazówek merytorycznych, organizacyjnych, techniczn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ych itp. dotyczących publicznej 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prezentacji efektów projektu</w:t>
            </w:r>
          </w:p>
        </w:tc>
        <w:tc>
          <w:tcPr>
            <w:tcW w:w="6686" w:type="dxa"/>
          </w:tcPr>
          <w:p w:rsidR="0053355A" w:rsidRPr="00102F7E" w:rsidRDefault="0053355A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6767B3" w:rsidRPr="00102F7E" w:rsidTr="00916B27">
        <w:trPr>
          <w:trHeight w:val="1077"/>
        </w:trPr>
        <w:tc>
          <w:tcPr>
            <w:tcW w:w="533" w:type="dxa"/>
          </w:tcPr>
          <w:p w:rsidR="006767B3" w:rsidRPr="00102F7E" w:rsidRDefault="006767B3" w:rsidP="007E4966">
            <w:pPr>
              <w:pStyle w:val="Akapitzlist"/>
              <w:numPr>
                <w:ilvl w:val="0"/>
                <w:numId w:val="3"/>
              </w:numPr>
              <w:rPr>
                <w:rFonts w:ascii="Arial" w:hAnsi="Arial" w:cs="Arial"/>
                <w:bCs/>
                <w:sz w:val="18"/>
                <w:szCs w:val="20"/>
              </w:rPr>
            </w:pPr>
          </w:p>
        </w:tc>
        <w:tc>
          <w:tcPr>
            <w:tcW w:w="7513" w:type="dxa"/>
          </w:tcPr>
          <w:p w:rsidR="006767B3" w:rsidRPr="00832F43" w:rsidRDefault="006767B3" w:rsidP="006767B3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Zestaw efek</w:t>
            </w:r>
            <w:r w:rsidR="00BE432D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tów uczenia się nr 4</w:t>
            </w:r>
          </w:p>
          <w:p w:rsidR="00724767" w:rsidRPr="00554DC2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E65FFB" w:rsidRPr="00E65FFB">
              <w:rPr>
                <w:rFonts w:ascii="Arial" w:hAnsi="Arial" w:cs="Arial"/>
                <w:bCs/>
                <w:sz w:val="18"/>
                <w:szCs w:val="20"/>
                <w:lang w:val="pl-PL"/>
              </w:rPr>
              <w:t>Ewaluacja projektów dziecięcych i młodzieżowych</w:t>
            </w:r>
          </w:p>
          <w:p w:rsidR="006767B3" w:rsidRPr="00554DC2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Poziom PRK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E65FFB">
              <w:rPr>
                <w:rFonts w:ascii="Arial" w:hAnsi="Arial" w:cs="Arial"/>
                <w:bCs/>
                <w:sz w:val="18"/>
                <w:szCs w:val="20"/>
                <w:lang w:val="pl-PL"/>
              </w:rPr>
              <w:t>5</w:t>
            </w:r>
          </w:p>
          <w:p w:rsidR="006767B3" w:rsidRPr="00554DC2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Orientacyjny nakład pracy [</w:t>
            </w:r>
            <w:proofErr w:type="spellStart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godz</w:t>
            </w:r>
            <w:proofErr w:type="spellEnd"/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]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554DC2">
              <w:rPr>
                <w:rFonts w:ascii="Arial" w:hAnsi="Arial" w:cs="Arial"/>
                <w:bCs/>
                <w:sz w:val="18"/>
                <w:szCs w:val="20"/>
                <w:lang w:val="pl-PL"/>
              </w:rPr>
              <w:t>25</w:t>
            </w:r>
          </w:p>
          <w:p w:rsidR="006767B3" w:rsidRPr="00711E5B" w:rsidRDefault="006767B3" w:rsidP="006767B3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Rodzaj zestawu</w:t>
            </w:r>
            <w:r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: </w:t>
            </w:r>
            <w:r w:rsidR="00711E5B" w:rsidRPr="00711E5B">
              <w:rPr>
                <w:rFonts w:ascii="Arial" w:hAnsi="Arial" w:cs="Arial"/>
                <w:bCs/>
                <w:sz w:val="18"/>
                <w:szCs w:val="20"/>
                <w:lang w:val="pl-PL"/>
              </w:rPr>
              <w:t>obowiązkowy</w:t>
            </w:r>
          </w:p>
          <w:p w:rsidR="006767B3" w:rsidRDefault="006767B3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53355A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Poszczególne efekty uczenia się oraz kryteria weryfikacji ich osiągnięcia</w:t>
            </w:r>
          </w:p>
          <w:p w:rsidR="006767B3" w:rsidRPr="0053355A" w:rsidRDefault="006767B3" w:rsidP="006767B3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E65FFB" w:rsidRDefault="00E65FFB" w:rsidP="00554DC2">
            <w:pPr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E65FFB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01 - Planuje własny rozwój i wspiera rozwój członków zespołu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54DC2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554DC2" w:rsidRDefault="00E65FFB" w:rsidP="00E65FF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wskazuje członkom zespołu narzędzia pomocne w autoref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leksji dotyczącej indywidualnej pracy w projekcie, 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proponuje członkom ze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społu drogi dalszego rozwoju, pozyskuje 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informację zwrotną od uczestników projektu na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temat działań koordynujących, analizuje 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pozyskane informacje i formułuje wnioski dotyczące własnej pracy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, określa kierunki 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własnego rozwoju</w:t>
            </w:r>
          </w:p>
          <w:p w:rsidR="00E65FFB" w:rsidRDefault="00E65FFB" w:rsidP="00554DC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</w:p>
          <w:p w:rsidR="00E65FFB" w:rsidRPr="00E65FFB" w:rsidRDefault="00E65FFB" w:rsidP="00E65FF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0</w:t>
            </w:r>
            <w:r w:rsidR="00554DC2" w:rsidRPr="00554DC2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2. </w:t>
            </w:r>
            <w:r w:rsidRPr="00E65FFB">
              <w:rPr>
                <w:rFonts w:ascii="Arial" w:hAnsi="Arial" w:cs="Arial"/>
                <w:b/>
                <w:sz w:val="18"/>
                <w:szCs w:val="18"/>
                <w:lang w:val="pl-PL"/>
              </w:rPr>
              <w:t>Wspiera zespół w podsumowaniu przeprowadzonego procesu realizacji projektu</w:t>
            </w:r>
          </w:p>
          <w:p w:rsidR="00554DC2" w:rsidRPr="00554DC2" w:rsidRDefault="00E65FFB" w:rsidP="00E65FFB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b/>
                <w:sz w:val="18"/>
                <w:szCs w:val="18"/>
                <w:lang w:val="pl-PL"/>
              </w:rPr>
              <w:t>adekwatnie do grupy dzieci lub młodzieży</w:t>
            </w:r>
          </w:p>
          <w:p w:rsidR="00554DC2" w:rsidRPr="00554DC2" w:rsidRDefault="00554DC2" w:rsidP="00554DC2">
            <w:pPr>
              <w:jc w:val="both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554DC2">
              <w:rPr>
                <w:rFonts w:ascii="Arial" w:hAnsi="Arial" w:cs="Arial"/>
                <w:b/>
                <w:sz w:val="18"/>
                <w:szCs w:val="18"/>
                <w:lang w:val="pl-PL"/>
              </w:rPr>
              <w:t>Kryteria weryfikacji</w:t>
            </w:r>
          </w:p>
          <w:p w:rsidR="00BE432D" w:rsidRDefault="00E65FFB" w:rsidP="00E65FFB">
            <w:pPr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pozyskuje od członków zespołu informacje o współpr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acy w zespole na poszczególnych etapach projektu, 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analizuje przebieg realizacji projektu uwzg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lędniając istotne kwestie ( np. 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 xml:space="preserve">staranność, zaangażowanie,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kreatywność, pomysłowość itp.), omawia z zespołem efekty 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projektu oraz kwestie jego promocji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,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 xml:space="preserve"> pozyskuje od czło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nków zespołu informacje o pracy własnej,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 xml:space="preserve"> pozyskuje od członków zespołu informacje o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potencjalnych niewykorzystanych </w:t>
            </w:r>
            <w:r w:rsidRPr="00E65FFB">
              <w:rPr>
                <w:rFonts w:ascii="Arial" w:hAnsi="Arial" w:cs="Arial"/>
                <w:sz w:val="18"/>
                <w:szCs w:val="18"/>
                <w:lang w:val="pl-PL"/>
              </w:rPr>
              <w:t>możliwościach</w:t>
            </w:r>
          </w:p>
          <w:p w:rsidR="00E65FFB" w:rsidRPr="00BE432D" w:rsidRDefault="00E65FFB" w:rsidP="00E65FFB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6767B3" w:rsidRPr="00102F7E" w:rsidRDefault="006767B3" w:rsidP="007E4966">
            <w:pPr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102F7E" w:rsidRPr="00102F7E" w:rsidTr="00916B27">
        <w:trPr>
          <w:trHeight w:val="1077"/>
        </w:trPr>
        <w:tc>
          <w:tcPr>
            <w:tcW w:w="533" w:type="dxa"/>
          </w:tcPr>
          <w:p w:rsidR="00102F7E" w:rsidRPr="00102F7E" w:rsidRDefault="00102F7E" w:rsidP="007E4966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7513" w:type="dxa"/>
          </w:tcPr>
          <w:p w:rsidR="00832F43" w:rsidRPr="00BE432D" w:rsidRDefault="00832F43" w:rsidP="00BE432D">
            <w:pPr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Okres ważności dokumentu potwierdzającego nadanie kwalifikacji i warunki przedłużenia jego</w:t>
            </w:r>
            <w:r w:rsidR="00920287"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ważności: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D56BD1" w:rsidRPr="00D56BD1">
              <w:rPr>
                <w:rFonts w:ascii="Arial" w:hAnsi="Arial" w:cs="Arial"/>
                <w:bCs/>
                <w:sz w:val="18"/>
                <w:szCs w:val="20"/>
                <w:lang w:val="pl-PL"/>
              </w:rPr>
              <w:t>Kwalifikacja ważna bezterminowo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Nazwa dokumentu potwierdzającego nadanie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Pr="00832F43">
              <w:rPr>
                <w:rFonts w:ascii="Arial" w:hAnsi="Arial" w:cs="Arial"/>
                <w:bCs/>
                <w:sz w:val="18"/>
                <w:szCs w:val="20"/>
                <w:lang w:val="pl-PL"/>
              </w:rPr>
              <w:t>Certyfikat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832F43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Uprawnienia związane z posiadaniem kwalifikacji:</w:t>
            </w:r>
            <w:r w:rsidR="00920287">
              <w:rPr>
                <w:rFonts w:ascii="Arial" w:hAnsi="Arial" w:cs="Arial"/>
                <w:bCs/>
                <w:sz w:val="18"/>
                <w:szCs w:val="20"/>
                <w:lang w:val="pl-PL"/>
              </w:rPr>
              <w:t xml:space="preserve"> </w:t>
            </w:r>
            <w:r w:rsidR="000E4C27" w:rsidRPr="000E4C27">
              <w:rPr>
                <w:rFonts w:ascii="Arial" w:hAnsi="Arial" w:cs="Arial"/>
                <w:bCs/>
                <w:sz w:val="18"/>
                <w:szCs w:val="20"/>
                <w:lang w:val="pl-PL"/>
              </w:rPr>
              <w:t>Nie dotyczy</w:t>
            </w:r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  <w:p w:rsidR="00832F43" w:rsidRPr="00920287" w:rsidRDefault="00832F43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dziedziny kształcenia: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D56BD1" w:rsidRPr="00D56BD1">
              <w:rPr>
                <w:rFonts w:ascii="Arial" w:hAnsi="Arial" w:cs="Arial"/>
                <w:bCs/>
                <w:sz w:val="18"/>
                <w:szCs w:val="20"/>
                <w:lang w:val="pl-PL"/>
              </w:rPr>
              <w:t>1 - Kształcenie</w:t>
            </w:r>
            <w:bookmarkStart w:id="0" w:name="_GoBack"/>
            <w:bookmarkEnd w:id="0"/>
          </w:p>
          <w:p w:rsidR="00920287" w:rsidRDefault="00920287" w:rsidP="007E4966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</w:pPr>
          </w:p>
          <w:p w:rsidR="007B3781" w:rsidRPr="007B3781" w:rsidRDefault="00832F43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  <w:r w:rsidRP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>Kod PKD:</w:t>
            </w:r>
            <w:r w:rsidR="00920287">
              <w:rPr>
                <w:rFonts w:ascii="Arial" w:hAnsi="Arial" w:cs="Arial"/>
                <w:b/>
                <w:bCs/>
                <w:sz w:val="18"/>
                <w:szCs w:val="20"/>
                <w:lang w:val="pl-PL"/>
              </w:rPr>
              <w:t xml:space="preserve"> </w:t>
            </w:r>
            <w:r w:rsidR="00367168" w:rsidRPr="00367168">
              <w:rPr>
                <w:rFonts w:ascii="Arial" w:hAnsi="Arial" w:cs="Arial"/>
                <w:bCs/>
                <w:sz w:val="18"/>
                <w:szCs w:val="20"/>
                <w:lang w:val="pl-PL"/>
              </w:rPr>
              <w:t>85.6 - Działalność wspomagająca edukację</w:t>
            </w:r>
          </w:p>
          <w:p w:rsidR="00102F7E" w:rsidRPr="00102F7E" w:rsidRDefault="00102F7E" w:rsidP="007E4966">
            <w:pPr>
              <w:spacing w:line="276" w:lineRule="auto"/>
              <w:jc w:val="both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  <w:tc>
          <w:tcPr>
            <w:tcW w:w="6686" w:type="dxa"/>
          </w:tcPr>
          <w:p w:rsidR="00102F7E" w:rsidRPr="00102F7E" w:rsidRDefault="00102F7E" w:rsidP="007E4966">
            <w:pPr>
              <w:spacing w:line="276" w:lineRule="auto"/>
              <w:rPr>
                <w:rFonts w:ascii="Arial" w:hAnsi="Arial" w:cs="Arial"/>
                <w:bCs/>
                <w:sz w:val="18"/>
                <w:szCs w:val="20"/>
                <w:lang w:val="pl-PL"/>
              </w:rPr>
            </w:pPr>
          </w:p>
        </w:tc>
      </w:tr>
    </w:tbl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sz w:val="20"/>
          <w:szCs w:val="20"/>
        </w:rPr>
      </w:pPr>
      <w:r w:rsidRPr="00102F7E">
        <w:rPr>
          <w:rFonts w:ascii="Arial" w:hAnsi="Arial" w:cs="Arial"/>
          <w:sz w:val="20"/>
          <w:szCs w:val="20"/>
        </w:rPr>
        <w:t>…………………………….....................………………………………</w:t>
      </w:r>
    </w:p>
    <w:p w:rsidR="00EA005D" w:rsidRPr="00102F7E" w:rsidRDefault="00EA005D" w:rsidP="007E4966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02F7E">
        <w:rPr>
          <w:rFonts w:ascii="Arial" w:hAnsi="Arial" w:cs="Arial"/>
          <w:i/>
          <w:sz w:val="16"/>
          <w:szCs w:val="16"/>
        </w:rPr>
        <w:t>(podpis osoby reprezentującej podmiot zgłaszający opinię w ramach konsultacji)</w:t>
      </w:r>
      <w:r w:rsidRPr="00102F7E">
        <w:rPr>
          <w:rFonts w:ascii="Arial" w:hAnsi="Arial" w:cs="Arial"/>
          <w:i/>
          <w:sz w:val="20"/>
          <w:szCs w:val="20"/>
        </w:rPr>
        <w:t xml:space="preserve"> </w:t>
      </w:r>
    </w:p>
    <w:p w:rsidR="001D763E" w:rsidRPr="00102F7E" w:rsidRDefault="001D763E" w:rsidP="007E4966"/>
    <w:sectPr w:rsidR="001D763E" w:rsidRPr="00102F7E" w:rsidSect="00213E46">
      <w:pgSz w:w="16838" w:h="11906" w:orient="landscape"/>
      <w:pgMar w:top="1702" w:right="1417" w:bottom="1134" w:left="1417" w:header="107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93D" w:rsidRDefault="004A393D" w:rsidP="00EA005D">
      <w:pPr>
        <w:spacing w:after="0" w:line="240" w:lineRule="auto"/>
      </w:pPr>
      <w:r>
        <w:separator/>
      </w:r>
    </w:p>
  </w:endnote>
  <w:endnote w:type="continuationSeparator" w:id="0">
    <w:p w:rsidR="004A393D" w:rsidRDefault="004A393D" w:rsidP="00EA0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044015"/>
      <w:docPartObj>
        <w:docPartGallery w:val="Page Numbers (Bottom of Page)"/>
        <w:docPartUnique/>
      </w:docPartObj>
    </w:sdtPr>
    <w:sdtContent>
      <w:p w:rsidR="004A393D" w:rsidRDefault="004A39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6BD1">
          <w:rPr>
            <w:noProof/>
          </w:rPr>
          <w:t>13</w:t>
        </w:r>
        <w:r>
          <w:fldChar w:fldCharType="end"/>
        </w:r>
      </w:p>
    </w:sdtContent>
  </w:sdt>
  <w:p w:rsidR="004A393D" w:rsidRDefault="004A39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93D" w:rsidRDefault="004A393D" w:rsidP="00EA005D">
      <w:pPr>
        <w:spacing w:after="0" w:line="240" w:lineRule="auto"/>
      </w:pPr>
      <w:r>
        <w:separator/>
      </w:r>
    </w:p>
  </w:footnote>
  <w:footnote w:type="continuationSeparator" w:id="0">
    <w:p w:rsidR="004A393D" w:rsidRDefault="004A393D" w:rsidP="00EA005D">
      <w:pPr>
        <w:spacing w:after="0" w:line="240" w:lineRule="auto"/>
      </w:pPr>
      <w:r>
        <w:continuationSeparator/>
      </w:r>
    </w:p>
  </w:footnote>
  <w:footnote w:id="1">
    <w:p w:rsidR="004A393D" w:rsidRDefault="004A393D" w:rsidP="00EA005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 xml:space="preserve">Tekst jednolity </w:t>
      </w:r>
      <w:r>
        <w:rPr>
          <w:sz w:val="16"/>
          <w:szCs w:val="16"/>
        </w:rPr>
        <w:t xml:space="preserve">Dz. U. z 2017 r., poz. 986, z </w:t>
      </w:r>
      <w:proofErr w:type="spellStart"/>
      <w:r>
        <w:rPr>
          <w:sz w:val="16"/>
          <w:szCs w:val="16"/>
        </w:rPr>
        <w:t>późn</w:t>
      </w:r>
      <w:proofErr w:type="spellEnd"/>
      <w:r>
        <w:rPr>
          <w:sz w:val="16"/>
          <w:szCs w:val="16"/>
        </w:rPr>
        <w:t>. zm.</w:t>
      </w:r>
      <w:r w:rsidRPr="00A94906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313"/>
    <w:multiLevelType w:val="hybridMultilevel"/>
    <w:tmpl w:val="A21A60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02069"/>
    <w:multiLevelType w:val="hybridMultilevel"/>
    <w:tmpl w:val="029A4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B2EC1"/>
    <w:multiLevelType w:val="hybridMultilevel"/>
    <w:tmpl w:val="B300AB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02AC7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3352E"/>
    <w:multiLevelType w:val="hybridMultilevel"/>
    <w:tmpl w:val="CB8406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F3091"/>
    <w:multiLevelType w:val="hybridMultilevel"/>
    <w:tmpl w:val="7B8C2D5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04C"/>
    <w:multiLevelType w:val="hybridMultilevel"/>
    <w:tmpl w:val="7132FF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8E5A57"/>
    <w:multiLevelType w:val="hybridMultilevel"/>
    <w:tmpl w:val="EC0E64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13453B"/>
    <w:multiLevelType w:val="hybridMultilevel"/>
    <w:tmpl w:val="6A7C97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8351B3"/>
    <w:multiLevelType w:val="hybridMultilevel"/>
    <w:tmpl w:val="2D34A7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FCF2AFD"/>
    <w:multiLevelType w:val="hybridMultilevel"/>
    <w:tmpl w:val="9EFE1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70234A"/>
    <w:multiLevelType w:val="hybridMultilevel"/>
    <w:tmpl w:val="F1780F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9E3857"/>
    <w:multiLevelType w:val="hybridMultilevel"/>
    <w:tmpl w:val="586CA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8"/>
  </w:num>
  <w:num w:numId="8">
    <w:abstractNumId w:val="10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5D"/>
    <w:rsid w:val="00082B79"/>
    <w:rsid w:val="000C4DF3"/>
    <w:rsid w:val="000E4C27"/>
    <w:rsid w:val="00102F7E"/>
    <w:rsid w:val="001322AC"/>
    <w:rsid w:val="00177E81"/>
    <w:rsid w:val="001B06B3"/>
    <w:rsid w:val="001D763E"/>
    <w:rsid w:val="001E44B6"/>
    <w:rsid w:val="001F1052"/>
    <w:rsid w:val="001F1CA8"/>
    <w:rsid w:val="00213E46"/>
    <w:rsid w:val="002A6D64"/>
    <w:rsid w:val="002D1915"/>
    <w:rsid w:val="00330768"/>
    <w:rsid w:val="00367168"/>
    <w:rsid w:val="003E378E"/>
    <w:rsid w:val="00420C92"/>
    <w:rsid w:val="00466946"/>
    <w:rsid w:val="004A393D"/>
    <w:rsid w:val="00502897"/>
    <w:rsid w:val="0053355A"/>
    <w:rsid w:val="00554DC2"/>
    <w:rsid w:val="005C662E"/>
    <w:rsid w:val="006152C9"/>
    <w:rsid w:val="00640E60"/>
    <w:rsid w:val="00657865"/>
    <w:rsid w:val="006730A6"/>
    <w:rsid w:val="006767B3"/>
    <w:rsid w:val="00711E5B"/>
    <w:rsid w:val="00716272"/>
    <w:rsid w:val="00724767"/>
    <w:rsid w:val="0073215D"/>
    <w:rsid w:val="007B3781"/>
    <w:rsid w:val="007E4966"/>
    <w:rsid w:val="00810EDA"/>
    <w:rsid w:val="00832F43"/>
    <w:rsid w:val="00860BC1"/>
    <w:rsid w:val="00877A10"/>
    <w:rsid w:val="00916B27"/>
    <w:rsid w:val="00920287"/>
    <w:rsid w:val="009F01A3"/>
    <w:rsid w:val="00A972C8"/>
    <w:rsid w:val="00B7723F"/>
    <w:rsid w:val="00BE432D"/>
    <w:rsid w:val="00C54ABB"/>
    <w:rsid w:val="00CD594C"/>
    <w:rsid w:val="00CF4BBB"/>
    <w:rsid w:val="00D444D1"/>
    <w:rsid w:val="00D56BD1"/>
    <w:rsid w:val="00D977E2"/>
    <w:rsid w:val="00E44B5B"/>
    <w:rsid w:val="00E61BAF"/>
    <w:rsid w:val="00E65FFB"/>
    <w:rsid w:val="00E66F35"/>
    <w:rsid w:val="00EA005D"/>
    <w:rsid w:val="00F20F14"/>
    <w:rsid w:val="00F5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CCF6EA3"/>
  <w15:docId w15:val="{6BD6E494-BABC-475A-B8CD-531BB5F1A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DC2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005D"/>
  </w:style>
  <w:style w:type="paragraph" w:styleId="Stopka">
    <w:name w:val="footer"/>
    <w:basedOn w:val="Normalny"/>
    <w:link w:val="StopkaZnak"/>
    <w:uiPriority w:val="99"/>
    <w:unhideWhenUsed/>
    <w:rsid w:val="00EA0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005D"/>
  </w:style>
  <w:style w:type="paragraph" w:styleId="Akapitzlist">
    <w:name w:val="List Paragraph"/>
    <w:basedOn w:val="Normalny"/>
    <w:uiPriority w:val="34"/>
    <w:qFormat/>
    <w:rsid w:val="00EA005D"/>
    <w:pPr>
      <w:ind w:left="720"/>
      <w:contextualSpacing/>
    </w:pPr>
  </w:style>
  <w:style w:type="table" w:customStyle="1" w:styleId="TableGridLight1">
    <w:name w:val="Table Grid Light1"/>
    <w:basedOn w:val="Standardowy"/>
    <w:uiPriority w:val="40"/>
    <w:rsid w:val="00EA005D"/>
    <w:pPr>
      <w:spacing w:after="0" w:line="240" w:lineRule="auto"/>
    </w:pPr>
    <w:rPr>
      <w:rFonts w:ascii="Georgia" w:hAnsi="Georgia"/>
      <w:sz w:val="20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00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A00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A00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96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5028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5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4771</Words>
  <Characters>28627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Finansów</Company>
  <LinksUpToDate>false</LinksUpToDate>
  <CharactersWithSpaces>33332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Podrażka Agnieszka</dc:creator>
  <cp:lastModifiedBy>Maksymiuk Katarzyna</cp:lastModifiedBy>
  <cp:revision>14</cp:revision>
  <cp:lastPrinted>2018-08-31T10:17:00Z</cp:lastPrinted>
  <dcterms:created xsi:type="dcterms:W3CDTF">2022-04-21T08:21:00Z</dcterms:created>
  <dcterms:modified xsi:type="dcterms:W3CDTF">2023-01-03T12:12:00Z</dcterms:modified>
</cp:coreProperties>
</file>