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D4B7F" w14:textId="1B7BBD4B" w:rsidR="00940F31" w:rsidRDefault="00620AE2">
      <w:pPr>
        <w:spacing w:before="76"/>
        <w:ind w:left="6749"/>
        <w:rPr>
          <w:rFonts w:ascii="Cambria" w:eastAsia="Cambria" w:hAnsi="Cambria" w:cs="Cambria"/>
          <w:sz w:val="20"/>
          <w:szCs w:val="20"/>
        </w:rPr>
      </w:pPr>
      <w:r>
        <w:rPr>
          <w:rFonts w:ascii="Cambria" w:eastAsia="Cambria" w:hAnsi="Cambria" w:cs="Cambria"/>
          <w:sz w:val="20"/>
          <w:szCs w:val="20"/>
        </w:rPr>
        <w:t xml:space="preserve"> Warszawa, 2</w:t>
      </w:r>
      <w:r w:rsidR="00C740E9">
        <w:rPr>
          <w:rFonts w:ascii="Cambria" w:eastAsia="Cambria" w:hAnsi="Cambria" w:cs="Cambria"/>
          <w:sz w:val="20"/>
          <w:szCs w:val="20"/>
        </w:rPr>
        <w:t>2.06.2020</w:t>
      </w:r>
    </w:p>
    <w:p w14:paraId="2486173D" w14:textId="77777777" w:rsidR="00940F31" w:rsidRDefault="00620AE2">
      <w:pPr>
        <w:spacing w:before="201"/>
        <w:ind w:left="1407"/>
        <w:rPr>
          <w:rFonts w:ascii="Cambria" w:eastAsia="Cambria" w:hAnsi="Cambria" w:cs="Cambria"/>
          <w:b/>
          <w:sz w:val="20"/>
          <w:szCs w:val="20"/>
        </w:rPr>
      </w:pPr>
      <w:r>
        <w:rPr>
          <w:rFonts w:ascii="Cambria" w:eastAsia="Cambria" w:hAnsi="Cambria" w:cs="Cambria"/>
          <w:b/>
          <w:sz w:val="20"/>
          <w:szCs w:val="20"/>
        </w:rPr>
        <w:t>Opisywanie kwalifikacji rynkowej – formularz</w:t>
      </w:r>
    </w:p>
    <w:p w14:paraId="4736394E" w14:textId="77777777" w:rsidR="00940F31" w:rsidRDefault="00940F31">
      <w:pPr>
        <w:spacing w:before="1"/>
        <w:rPr>
          <w:rFonts w:ascii="Cambria" w:eastAsia="Cambria" w:hAnsi="Cambria" w:cs="Cambria"/>
          <w:b/>
          <w:sz w:val="20"/>
          <w:szCs w:val="20"/>
        </w:rPr>
      </w:pPr>
    </w:p>
    <w:p w14:paraId="06413D61" w14:textId="77777777" w:rsidR="00940F31" w:rsidRDefault="00620AE2">
      <w:pPr>
        <w:ind w:left="115"/>
        <w:rPr>
          <w:rFonts w:ascii="Cambria" w:eastAsia="Cambria" w:hAnsi="Cambria" w:cs="Cambria"/>
          <w:sz w:val="20"/>
          <w:szCs w:val="20"/>
        </w:rPr>
      </w:pPr>
      <w:r>
        <w:rPr>
          <w:rFonts w:ascii="Cambria" w:eastAsia="Cambria" w:hAnsi="Cambria" w:cs="Cambria"/>
          <w:sz w:val="20"/>
          <w:szCs w:val="20"/>
        </w:rPr>
        <w:t>Opis kwalifikacji rynkowej (nazwa kwalifikacji)</w:t>
      </w:r>
    </w:p>
    <w:p w14:paraId="0FDC7620" w14:textId="77777777" w:rsidR="00940F31" w:rsidRDefault="00620AE2">
      <w:pPr>
        <w:pBdr>
          <w:top w:val="nil"/>
          <w:left w:val="nil"/>
          <w:bottom w:val="nil"/>
          <w:right w:val="nil"/>
          <w:between w:val="nil"/>
        </w:pBdr>
        <w:spacing w:before="42" w:after="2" w:line="273" w:lineRule="auto"/>
        <w:ind w:left="115"/>
        <w:rPr>
          <w:rFonts w:ascii="Cambria" w:eastAsia="Cambria" w:hAnsi="Cambria" w:cs="Cambria"/>
          <w:b/>
          <w:color w:val="000000"/>
          <w:sz w:val="20"/>
          <w:szCs w:val="20"/>
        </w:rPr>
      </w:pPr>
      <w:r>
        <w:rPr>
          <w:rFonts w:ascii="Cambria" w:eastAsia="Cambria" w:hAnsi="Cambria" w:cs="Cambria"/>
          <w:b/>
          <w:color w:val="212121"/>
          <w:sz w:val="20"/>
          <w:szCs w:val="20"/>
        </w:rPr>
        <w:t>Wdrażanie działań profilaktycznych i pomocowych ukierunkowanych na problem nienormatywnej masy ciała i zaburzeń odżywiania</w:t>
      </w:r>
    </w:p>
    <w:tbl>
      <w:tblPr>
        <w:tblStyle w:val="a"/>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4DBE1A9D" w14:textId="77777777">
        <w:trPr>
          <w:trHeight w:val="500"/>
        </w:trPr>
        <w:tc>
          <w:tcPr>
            <w:tcW w:w="9286" w:type="dxa"/>
            <w:shd w:val="clear" w:color="auto" w:fill="F2F2F2"/>
          </w:tcPr>
          <w:p w14:paraId="17AC72D5" w14:textId="77777777" w:rsidR="00940F31" w:rsidRDefault="00620AE2">
            <w:pPr>
              <w:pBdr>
                <w:top w:val="nil"/>
                <w:left w:val="nil"/>
                <w:bottom w:val="nil"/>
                <w:right w:val="nil"/>
                <w:between w:val="nil"/>
              </w:pBdr>
              <w:spacing w:before="120"/>
              <w:ind w:left="110" w:hanging="110"/>
              <w:rPr>
                <w:rFonts w:ascii="Cambria" w:eastAsia="Cambria" w:hAnsi="Cambria" w:cs="Cambria"/>
                <w:b/>
                <w:color w:val="000000"/>
                <w:sz w:val="20"/>
                <w:szCs w:val="20"/>
              </w:rPr>
            </w:pPr>
            <w:r>
              <w:rPr>
                <w:rFonts w:ascii="Cambria" w:eastAsia="Cambria" w:hAnsi="Cambria" w:cs="Cambria"/>
                <w:b/>
                <w:color w:val="000000"/>
                <w:sz w:val="20"/>
                <w:szCs w:val="20"/>
              </w:rPr>
              <w:t>Typ wniosku</w:t>
            </w:r>
          </w:p>
        </w:tc>
      </w:tr>
      <w:tr w:rsidR="00940F31" w14:paraId="262837EA" w14:textId="77777777">
        <w:trPr>
          <w:trHeight w:val="500"/>
        </w:trPr>
        <w:tc>
          <w:tcPr>
            <w:tcW w:w="9286" w:type="dxa"/>
          </w:tcPr>
          <w:p w14:paraId="110FCC95" w14:textId="77777777" w:rsidR="00940F31" w:rsidRDefault="00620AE2">
            <w:pPr>
              <w:pBdr>
                <w:top w:val="nil"/>
                <w:left w:val="nil"/>
                <w:bottom w:val="nil"/>
                <w:right w:val="nil"/>
                <w:between w:val="nil"/>
              </w:pBdr>
              <w:spacing w:before="120"/>
              <w:ind w:left="110" w:hanging="110"/>
              <w:rPr>
                <w:rFonts w:ascii="Cambria" w:eastAsia="Cambria" w:hAnsi="Cambria" w:cs="Cambria"/>
                <w:color w:val="000000"/>
                <w:sz w:val="20"/>
                <w:szCs w:val="20"/>
              </w:rPr>
            </w:pPr>
            <w:r>
              <w:rPr>
                <w:rFonts w:ascii="Cambria" w:eastAsia="Cambria" w:hAnsi="Cambria" w:cs="Cambria"/>
                <w:color w:val="000000"/>
                <w:sz w:val="20"/>
                <w:szCs w:val="20"/>
              </w:rPr>
              <w:t>Wniosek o włączenie kwaliﬁkacji do ZSK.</w:t>
            </w:r>
          </w:p>
        </w:tc>
      </w:tr>
      <w:tr w:rsidR="00940F31" w14:paraId="2A927284" w14:textId="77777777">
        <w:trPr>
          <w:trHeight w:val="4480"/>
        </w:trPr>
        <w:tc>
          <w:tcPr>
            <w:tcW w:w="9286" w:type="dxa"/>
            <w:shd w:val="clear" w:color="auto" w:fill="F2F2F2"/>
          </w:tcPr>
          <w:p w14:paraId="6FF5BFEE" w14:textId="77777777" w:rsidR="00940F31" w:rsidRDefault="00620AE2">
            <w:pPr>
              <w:pBdr>
                <w:top w:val="nil"/>
                <w:left w:val="nil"/>
                <w:bottom w:val="nil"/>
                <w:right w:val="nil"/>
                <w:between w:val="nil"/>
              </w:pBdr>
              <w:spacing w:before="118"/>
              <w:ind w:left="110" w:hanging="110"/>
              <w:rPr>
                <w:rFonts w:ascii="Cambria" w:eastAsia="Cambria" w:hAnsi="Cambria" w:cs="Cambria"/>
                <w:b/>
                <w:color w:val="000000"/>
                <w:sz w:val="20"/>
                <w:szCs w:val="20"/>
              </w:rPr>
            </w:pPr>
            <w:r>
              <w:rPr>
                <w:rFonts w:ascii="Cambria" w:eastAsia="Cambria" w:hAnsi="Cambria" w:cs="Cambria"/>
                <w:b/>
                <w:color w:val="000000"/>
                <w:sz w:val="20"/>
                <w:szCs w:val="20"/>
              </w:rPr>
              <w:t>Nazwa kwalifikacji</w:t>
            </w:r>
          </w:p>
          <w:p w14:paraId="41D108F1" w14:textId="77777777" w:rsidR="00940F31" w:rsidRDefault="00620AE2">
            <w:pPr>
              <w:pBdr>
                <w:top w:val="nil"/>
                <w:left w:val="nil"/>
                <w:bottom w:val="nil"/>
                <w:right w:val="nil"/>
                <w:between w:val="nil"/>
              </w:pBdr>
              <w:spacing w:before="120"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a). Pełna nazwa kwalifikacji, która ma być widoczna w ZRK i być umieszczana na dokumencie potwierdzającym jej uzyskanie.</w:t>
            </w:r>
          </w:p>
          <w:p w14:paraId="0B50EC95"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Nazwa kwalifikacji (na ile to możliwe) powinna:</w:t>
            </w:r>
          </w:p>
          <w:p w14:paraId="3A90BA3D" w14:textId="77777777" w:rsidR="00940F31" w:rsidRDefault="00620AE2">
            <w:pPr>
              <w:numPr>
                <w:ilvl w:val="0"/>
                <w:numId w:val="10"/>
              </w:numPr>
              <w:pBdr>
                <w:top w:val="nil"/>
                <w:left w:val="nil"/>
                <w:bottom w:val="nil"/>
                <w:right w:val="nil"/>
                <w:between w:val="nil"/>
              </w:pBdr>
              <w:tabs>
                <w:tab w:val="left" w:pos="829"/>
                <w:tab w:val="left" w:pos="831"/>
              </w:tabs>
              <w:spacing w:before="157"/>
              <w:rPr>
                <w:i/>
                <w:color w:val="000000"/>
              </w:rPr>
            </w:pPr>
            <w:r>
              <w:rPr>
                <w:rFonts w:ascii="Cambria" w:eastAsia="Cambria" w:hAnsi="Cambria" w:cs="Cambria"/>
                <w:i/>
                <w:color w:val="000000"/>
                <w:sz w:val="20"/>
                <w:szCs w:val="20"/>
              </w:rPr>
              <w:t>jednoznacznie identyfikować kwalifikację,</w:t>
            </w:r>
          </w:p>
          <w:p w14:paraId="5D459325" w14:textId="77777777" w:rsidR="00940F31" w:rsidRDefault="00620AE2">
            <w:pPr>
              <w:numPr>
                <w:ilvl w:val="0"/>
                <w:numId w:val="10"/>
              </w:numPr>
              <w:pBdr>
                <w:top w:val="nil"/>
                <w:left w:val="nil"/>
                <w:bottom w:val="nil"/>
                <w:right w:val="nil"/>
                <w:between w:val="nil"/>
              </w:pBdr>
              <w:tabs>
                <w:tab w:val="left" w:pos="830"/>
                <w:tab w:val="left" w:pos="831"/>
              </w:tabs>
              <w:spacing w:before="155"/>
              <w:rPr>
                <w:i/>
                <w:color w:val="000000"/>
              </w:rPr>
            </w:pPr>
            <w:r>
              <w:rPr>
                <w:rFonts w:ascii="Cambria" w:eastAsia="Cambria" w:hAnsi="Cambria" w:cs="Cambria"/>
                <w:i/>
                <w:color w:val="000000"/>
                <w:sz w:val="20"/>
                <w:szCs w:val="20"/>
              </w:rPr>
              <w:t>różnić się od nazw innych kwalifikacji,</w:t>
            </w:r>
          </w:p>
          <w:p w14:paraId="512ADC3D" w14:textId="77777777" w:rsidR="00940F31" w:rsidRDefault="00620AE2">
            <w:pPr>
              <w:numPr>
                <w:ilvl w:val="0"/>
                <w:numId w:val="10"/>
              </w:numPr>
              <w:pBdr>
                <w:top w:val="nil"/>
                <w:left w:val="nil"/>
                <w:bottom w:val="nil"/>
                <w:right w:val="nil"/>
                <w:between w:val="nil"/>
              </w:pBdr>
              <w:tabs>
                <w:tab w:val="left" w:pos="830"/>
                <w:tab w:val="left" w:pos="831"/>
              </w:tabs>
              <w:spacing w:before="157"/>
              <w:rPr>
                <w:i/>
                <w:color w:val="000000"/>
              </w:rPr>
            </w:pPr>
            <w:r>
              <w:rPr>
                <w:rFonts w:ascii="Cambria" w:eastAsia="Cambria" w:hAnsi="Cambria" w:cs="Cambria"/>
                <w:i/>
                <w:color w:val="000000"/>
                <w:sz w:val="20"/>
                <w:szCs w:val="20"/>
              </w:rPr>
              <w:t>różnić się od nazwy zawodu, stanowiska pracy lub tytułu zawodowego, uprawnienia,</w:t>
            </w:r>
          </w:p>
          <w:p w14:paraId="744FFC47" w14:textId="77777777" w:rsidR="00940F31" w:rsidRDefault="00620AE2">
            <w:pPr>
              <w:numPr>
                <w:ilvl w:val="0"/>
                <w:numId w:val="10"/>
              </w:numPr>
              <w:pBdr>
                <w:top w:val="nil"/>
                <w:left w:val="nil"/>
                <w:bottom w:val="nil"/>
                <w:right w:val="nil"/>
                <w:between w:val="nil"/>
              </w:pBdr>
              <w:tabs>
                <w:tab w:val="left" w:pos="830"/>
                <w:tab w:val="left" w:pos="831"/>
              </w:tabs>
              <w:spacing w:before="154"/>
              <w:rPr>
                <w:i/>
                <w:color w:val="000000"/>
              </w:rPr>
            </w:pPr>
            <w:r>
              <w:rPr>
                <w:rFonts w:ascii="Cambria" w:eastAsia="Cambria" w:hAnsi="Cambria" w:cs="Cambria"/>
                <w:i/>
                <w:color w:val="000000"/>
                <w:sz w:val="20"/>
                <w:szCs w:val="20"/>
              </w:rPr>
              <w:t>być możliwie krótka,</w:t>
            </w:r>
          </w:p>
          <w:p w14:paraId="3B8E341E" w14:textId="77777777" w:rsidR="00940F31" w:rsidRDefault="00620AE2">
            <w:pPr>
              <w:numPr>
                <w:ilvl w:val="0"/>
                <w:numId w:val="10"/>
              </w:numPr>
              <w:pBdr>
                <w:top w:val="nil"/>
                <w:left w:val="nil"/>
                <w:bottom w:val="nil"/>
                <w:right w:val="nil"/>
                <w:between w:val="nil"/>
              </w:pBdr>
              <w:tabs>
                <w:tab w:val="left" w:pos="830"/>
                <w:tab w:val="left" w:pos="831"/>
              </w:tabs>
              <w:spacing w:before="157"/>
              <w:rPr>
                <w:i/>
                <w:color w:val="000000"/>
              </w:rPr>
            </w:pPr>
            <w:r>
              <w:rPr>
                <w:rFonts w:ascii="Cambria" w:eastAsia="Cambria" w:hAnsi="Cambria" w:cs="Cambria"/>
                <w:i/>
                <w:color w:val="000000"/>
                <w:sz w:val="20"/>
                <w:szCs w:val="20"/>
              </w:rPr>
              <w:t>nie zawierać skrótów,</w:t>
            </w:r>
          </w:p>
          <w:p w14:paraId="59723458" w14:textId="77777777" w:rsidR="00940F31" w:rsidRDefault="00620AE2">
            <w:pPr>
              <w:numPr>
                <w:ilvl w:val="0"/>
                <w:numId w:val="10"/>
              </w:numPr>
              <w:pBdr>
                <w:top w:val="nil"/>
                <w:left w:val="nil"/>
                <w:bottom w:val="nil"/>
                <w:right w:val="nil"/>
                <w:between w:val="nil"/>
              </w:pBdr>
              <w:tabs>
                <w:tab w:val="left" w:pos="830"/>
                <w:tab w:val="left" w:pos="831"/>
              </w:tabs>
              <w:spacing w:before="155"/>
              <w:rPr>
                <w:i/>
                <w:color w:val="000000"/>
              </w:rPr>
            </w:pPr>
            <w:r>
              <w:rPr>
                <w:rFonts w:ascii="Cambria" w:eastAsia="Cambria" w:hAnsi="Cambria" w:cs="Cambria"/>
                <w:i/>
                <w:color w:val="000000"/>
                <w:sz w:val="20"/>
                <w:szCs w:val="20"/>
              </w:rPr>
              <w:t>być oparta na rzeczowniku odczasownikowym, np. „gromadzenie”, „przechowywanie”,</w:t>
            </w:r>
          </w:p>
          <w:p w14:paraId="0D4EFED2" w14:textId="77777777" w:rsidR="00940F31" w:rsidRDefault="00620AE2">
            <w:pPr>
              <w:pBdr>
                <w:top w:val="nil"/>
                <w:left w:val="nil"/>
                <w:bottom w:val="nil"/>
                <w:right w:val="nil"/>
                <w:between w:val="nil"/>
              </w:pBdr>
              <w:spacing w:before="37"/>
              <w:ind w:left="830" w:hanging="110"/>
              <w:rPr>
                <w:rFonts w:ascii="Cambria" w:eastAsia="Cambria" w:hAnsi="Cambria" w:cs="Cambria"/>
                <w:i/>
                <w:color w:val="000000"/>
                <w:sz w:val="20"/>
                <w:szCs w:val="20"/>
              </w:rPr>
            </w:pPr>
            <w:r>
              <w:rPr>
                <w:rFonts w:ascii="Cambria" w:eastAsia="Cambria" w:hAnsi="Cambria" w:cs="Cambria"/>
                <w:i/>
                <w:color w:val="000000"/>
                <w:sz w:val="20"/>
                <w:szCs w:val="20"/>
              </w:rPr>
              <w:t>„szycie”.</w:t>
            </w:r>
          </w:p>
        </w:tc>
      </w:tr>
      <w:tr w:rsidR="00940F31" w14:paraId="2971B675" w14:textId="77777777">
        <w:trPr>
          <w:trHeight w:val="760"/>
        </w:trPr>
        <w:tc>
          <w:tcPr>
            <w:tcW w:w="9286" w:type="dxa"/>
          </w:tcPr>
          <w:p w14:paraId="4F3FFC95" w14:textId="77777777" w:rsidR="00940F31" w:rsidRDefault="00620AE2">
            <w:pPr>
              <w:pBdr>
                <w:top w:val="nil"/>
                <w:left w:val="nil"/>
                <w:bottom w:val="nil"/>
                <w:right w:val="nil"/>
                <w:between w:val="nil"/>
              </w:pBdr>
              <w:spacing w:before="123"/>
              <w:ind w:left="110" w:right="74" w:hanging="110"/>
              <w:rPr>
                <w:rFonts w:ascii="Cambria" w:eastAsia="Cambria" w:hAnsi="Cambria" w:cs="Cambria"/>
                <w:color w:val="212121"/>
                <w:sz w:val="20"/>
                <w:szCs w:val="20"/>
              </w:rPr>
            </w:pPr>
            <w:r>
              <w:rPr>
                <w:rFonts w:ascii="Cambria" w:eastAsia="Cambria" w:hAnsi="Cambria" w:cs="Cambria"/>
                <w:color w:val="212121"/>
                <w:sz w:val="20"/>
                <w:szCs w:val="20"/>
              </w:rPr>
              <w:t>Wdrażanie działań profilaktycznych i pomocowych ukierunkowanych na problem nienormatywnej masy ciała i zaburzeń odżywiania.</w:t>
            </w:r>
          </w:p>
          <w:p w14:paraId="64C9B6AB" w14:textId="77777777" w:rsidR="00940F31" w:rsidRDefault="00940F31">
            <w:pPr>
              <w:pBdr>
                <w:top w:val="nil"/>
                <w:left w:val="nil"/>
                <w:bottom w:val="nil"/>
                <w:right w:val="nil"/>
                <w:between w:val="nil"/>
              </w:pBdr>
              <w:spacing w:before="123"/>
              <w:ind w:left="110" w:right="74" w:hanging="110"/>
              <w:rPr>
                <w:rFonts w:ascii="Cambria" w:eastAsia="Cambria" w:hAnsi="Cambria" w:cs="Cambria"/>
                <w:color w:val="000000"/>
                <w:sz w:val="20"/>
                <w:szCs w:val="20"/>
              </w:rPr>
            </w:pPr>
          </w:p>
        </w:tc>
      </w:tr>
      <w:tr w:rsidR="00940F31" w14:paraId="6A32E5EE" w14:textId="77777777">
        <w:trPr>
          <w:trHeight w:val="880"/>
        </w:trPr>
        <w:tc>
          <w:tcPr>
            <w:tcW w:w="9286" w:type="dxa"/>
            <w:shd w:val="clear" w:color="auto" w:fill="F2F2F2"/>
          </w:tcPr>
          <w:p w14:paraId="0A717568" w14:textId="77777777" w:rsidR="00940F31" w:rsidRDefault="00620AE2">
            <w:pPr>
              <w:pBdr>
                <w:top w:val="nil"/>
                <w:left w:val="nil"/>
                <w:bottom w:val="nil"/>
                <w:right w:val="nil"/>
                <w:between w:val="nil"/>
              </w:pBdr>
              <w:spacing w:before="120"/>
              <w:ind w:left="110" w:hanging="110"/>
              <w:rPr>
                <w:rFonts w:ascii="Cambria" w:eastAsia="Cambria" w:hAnsi="Cambria" w:cs="Cambria"/>
                <w:b/>
                <w:color w:val="000000"/>
                <w:sz w:val="20"/>
                <w:szCs w:val="20"/>
              </w:rPr>
            </w:pPr>
            <w:r>
              <w:rPr>
                <w:rFonts w:ascii="Cambria" w:eastAsia="Cambria" w:hAnsi="Cambria" w:cs="Cambria"/>
                <w:b/>
                <w:color w:val="000000"/>
                <w:sz w:val="20"/>
                <w:szCs w:val="20"/>
              </w:rPr>
              <w:t>Skrót nazwy</w:t>
            </w:r>
          </w:p>
          <w:p w14:paraId="3DB1D486"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nieobowiązkowe.</w:t>
            </w:r>
          </w:p>
        </w:tc>
      </w:tr>
      <w:tr w:rsidR="00940F31" w14:paraId="00E6AAAC" w14:textId="77777777">
        <w:trPr>
          <w:trHeight w:val="500"/>
        </w:trPr>
        <w:tc>
          <w:tcPr>
            <w:tcW w:w="9286" w:type="dxa"/>
          </w:tcPr>
          <w:p w14:paraId="3DABBFB7" w14:textId="77777777" w:rsidR="00940F31" w:rsidRDefault="00620AE2">
            <w:pPr>
              <w:pBdr>
                <w:top w:val="nil"/>
                <w:left w:val="nil"/>
                <w:bottom w:val="nil"/>
                <w:right w:val="nil"/>
                <w:between w:val="nil"/>
              </w:pBdr>
              <w:spacing w:before="120"/>
              <w:ind w:left="110" w:hanging="110"/>
              <w:rPr>
                <w:rFonts w:ascii="Cambria" w:eastAsia="Cambria" w:hAnsi="Cambria" w:cs="Cambria"/>
                <w:color w:val="000000"/>
                <w:sz w:val="20"/>
                <w:szCs w:val="20"/>
              </w:rPr>
            </w:pPr>
            <w:r>
              <w:rPr>
                <w:rFonts w:ascii="Cambria" w:eastAsia="Cambria" w:hAnsi="Cambria" w:cs="Cambria"/>
                <w:color w:val="000000"/>
                <w:sz w:val="20"/>
                <w:szCs w:val="20"/>
              </w:rPr>
              <w:t>Nie określa się.</w:t>
            </w:r>
          </w:p>
        </w:tc>
      </w:tr>
      <w:tr w:rsidR="00940F31" w14:paraId="30EA495B" w14:textId="77777777">
        <w:trPr>
          <w:trHeight w:val="880"/>
        </w:trPr>
        <w:tc>
          <w:tcPr>
            <w:tcW w:w="9286" w:type="dxa"/>
            <w:shd w:val="clear" w:color="auto" w:fill="F2F2F2"/>
          </w:tcPr>
          <w:p w14:paraId="2C2E3E22" w14:textId="77777777" w:rsidR="00940F31" w:rsidRDefault="00620AE2">
            <w:pPr>
              <w:pBdr>
                <w:top w:val="nil"/>
                <w:left w:val="nil"/>
                <w:bottom w:val="nil"/>
                <w:right w:val="nil"/>
                <w:between w:val="nil"/>
              </w:pBdr>
              <w:spacing w:before="120"/>
              <w:ind w:left="110" w:hanging="110"/>
              <w:rPr>
                <w:rFonts w:ascii="Cambria" w:eastAsia="Cambria" w:hAnsi="Cambria" w:cs="Cambria"/>
                <w:b/>
                <w:color w:val="000000"/>
                <w:sz w:val="20"/>
                <w:szCs w:val="20"/>
              </w:rPr>
            </w:pPr>
            <w:r>
              <w:rPr>
                <w:rFonts w:ascii="Cambria" w:eastAsia="Cambria" w:hAnsi="Cambria" w:cs="Cambria"/>
                <w:b/>
                <w:color w:val="000000"/>
                <w:sz w:val="20"/>
                <w:szCs w:val="20"/>
              </w:rPr>
              <w:t>Rodzaj kwalifikacji</w:t>
            </w:r>
          </w:p>
          <w:p w14:paraId="05127A4B"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Wskazanie, czy kwalifikacja jest: kwalifikacją pełną, czy kwalifikacją cząstkową.</w:t>
            </w:r>
          </w:p>
        </w:tc>
      </w:tr>
      <w:tr w:rsidR="00940F31" w14:paraId="35642074" w14:textId="77777777">
        <w:trPr>
          <w:trHeight w:val="500"/>
        </w:trPr>
        <w:tc>
          <w:tcPr>
            <w:tcW w:w="9286" w:type="dxa"/>
          </w:tcPr>
          <w:p w14:paraId="270CE96F" w14:textId="77777777" w:rsidR="00940F31" w:rsidRDefault="00620AE2">
            <w:pPr>
              <w:pBdr>
                <w:top w:val="nil"/>
                <w:left w:val="nil"/>
                <w:bottom w:val="nil"/>
                <w:right w:val="nil"/>
                <w:between w:val="nil"/>
              </w:pBdr>
              <w:spacing w:before="120"/>
              <w:ind w:left="110" w:hanging="110"/>
              <w:rPr>
                <w:rFonts w:ascii="Cambria" w:eastAsia="Cambria" w:hAnsi="Cambria" w:cs="Cambria"/>
                <w:color w:val="000000"/>
                <w:sz w:val="20"/>
                <w:szCs w:val="20"/>
              </w:rPr>
            </w:pPr>
            <w:r>
              <w:rPr>
                <w:rFonts w:ascii="Cambria" w:eastAsia="Cambria" w:hAnsi="Cambria" w:cs="Cambria"/>
                <w:color w:val="000000"/>
                <w:sz w:val="20"/>
                <w:szCs w:val="20"/>
              </w:rPr>
              <w:t>Cząstkowa</w:t>
            </w:r>
          </w:p>
        </w:tc>
      </w:tr>
      <w:tr w:rsidR="00940F31" w14:paraId="0955276F" w14:textId="77777777">
        <w:trPr>
          <w:trHeight w:val="860"/>
        </w:trPr>
        <w:tc>
          <w:tcPr>
            <w:tcW w:w="9286" w:type="dxa"/>
            <w:shd w:val="clear" w:color="auto" w:fill="F2F2F2"/>
          </w:tcPr>
          <w:p w14:paraId="5D3DCB28" w14:textId="77777777" w:rsidR="00940F31" w:rsidRDefault="00620AE2">
            <w:pPr>
              <w:pBdr>
                <w:top w:val="nil"/>
                <w:left w:val="nil"/>
                <w:bottom w:val="nil"/>
                <w:right w:val="nil"/>
                <w:between w:val="nil"/>
              </w:pBdr>
              <w:spacing w:before="118"/>
              <w:ind w:left="110" w:hanging="110"/>
              <w:rPr>
                <w:rFonts w:ascii="Cambria" w:eastAsia="Cambria" w:hAnsi="Cambria" w:cs="Cambria"/>
                <w:b/>
                <w:color w:val="000000"/>
                <w:sz w:val="20"/>
                <w:szCs w:val="20"/>
              </w:rPr>
            </w:pPr>
            <w:r>
              <w:rPr>
                <w:rFonts w:ascii="Cambria" w:eastAsia="Cambria" w:hAnsi="Cambria" w:cs="Cambria"/>
                <w:b/>
                <w:color w:val="000000"/>
                <w:sz w:val="20"/>
                <w:szCs w:val="20"/>
              </w:rPr>
              <w:t>Proponowany poziom Polskiej Ramy Kwalifikacji</w:t>
            </w:r>
          </w:p>
          <w:p w14:paraId="26A7AAEE" w14:textId="77777777" w:rsidR="00940F31" w:rsidRDefault="00620AE2">
            <w:pPr>
              <w:pBdr>
                <w:top w:val="nil"/>
                <w:left w:val="nil"/>
                <w:bottom w:val="nil"/>
                <w:right w:val="nil"/>
                <w:between w:val="nil"/>
              </w:pBdr>
              <w:spacing w:before="123"/>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4). Proponowany poziom Polskiej Ramy Kwalifikacji.</w:t>
            </w:r>
          </w:p>
        </w:tc>
      </w:tr>
      <w:tr w:rsidR="00940F31" w14:paraId="19D02D61" w14:textId="77777777">
        <w:trPr>
          <w:trHeight w:val="500"/>
        </w:trPr>
        <w:tc>
          <w:tcPr>
            <w:tcW w:w="9286" w:type="dxa"/>
          </w:tcPr>
          <w:p w14:paraId="22D67EEE" w14:textId="77777777" w:rsidR="00940F31" w:rsidRDefault="00620AE2">
            <w:pPr>
              <w:pBdr>
                <w:top w:val="nil"/>
                <w:left w:val="nil"/>
                <w:bottom w:val="nil"/>
                <w:right w:val="nil"/>
                <w:between w:val="nil"/>
              </w:pBdr>
              <w:spacing w:before="120"/>
              <w:ind w:left="110" w:hanging="110"/>
              <w:rPr>
                <w:rFonts w:ascii="Cambria" w:eastAsia="Cambria" w:hAnsi="Cambria" w:cs="Cambria"/>
                <w:color w:val="000000"/>
                <w:sz w:val="20"/>
                <w:szCs w:val="20"/>
              </w:rPr>
            </w:pPr>
            <w:r>
              <w:rPr>
                <w:rFonts w:ascii="Cambria" w:eastAsia="Cambria" w:hAnsi="Cambria" w:cs="Cambria"/>
                <w:color w:val="000000"/>
                <w:sz w:val="20"/>
                <w:szCs w:val="20"/>
              </w:rPr>
              <w:t>6 PRK</w:t>
            </w:r>
          </w:p>
        </w:tc>
      </w:tr>
      <w:tr w:rsidR="00940F31" w14:paraId="2AE13621" w14:textId="77777777">
        <w:trPr>
          <w:trHeight w:val="760"/>
        </w:trPr>
        <w:tc>
          <w:tcPr>
            <w:tcW w:w="9286" w:type="dxa"/>
            <w:shd w:val="clear" w:color="auto" w:fill="F2F2F2"/>
          </w:tcPr>
          <w:p w14:paraId="6269AF90" w14:textId="77777777" w:rsidR="00940F31" w:rsidRDefault="00620AE2">
            <w:pPr>
              <w:pBdr>
                <w:top w:val="nil"/>
                <w:left w:val="nil"/>
                <w:bottom w:val="nil"/>
                <w:right w:val="nil"/>
                <w:between w:val="nil"/>
              </w:pBdr>
              <w:spacing w:line="273" w:lineRule="auto"/>
              <w:ind w:left="110" w:right="90" w:hanging="110"/>
              <w:jc w:val="both"/>
              <w:rPr>
                <w:rFonts w:ascii="Cambria" w:eastAsia="Cambria" w:hAnsi="Cambria" w:cs="Cambria"/>
                <w:i/>
                <w:color w:val="000000"/>
                <w:sz w:val="20"/>
                <w:szCs w:val="20"/>
              </w:rPr>
            </w:pPr>
            <w:r>
              <w:rPr>
                <w:rFonts w:ascii="Cambria" w:eastAsia="Cambria" w:hAnsi="Cambria" w:cs="Cambria"/>
                <w:b/>
                <w:color w:val="000000"/>
                <w:sz w:val="20"/>
                <w:szCs w:val="20"/>
              </w:rPr>
              <w:t>Krótka</w:t>
            </w:r>
            <w:r>
              <w:rPr>
                <w:rFonts w:ascii="Cambria" w:eastAsia="Cambria" w:hAnsi="Cambria" w:cs="Cambria"/>
                <w:color w:val="000000"/>
                <w:sz w:val="20"/>
                <w:szCs w:val="20"/>
              </w:rPr>
              <w:tab/>
            </w:r>
            <w:r>
              <w:rPr>
                <w:rFonts w:ascii="Cambria" w:eastAsia="Cambria" w:hAnsi="Cambria" w:cs="Cambria"/>
                <w:b/>
                <w:color w:val="000000"/>
                <w:sz w:val="20"/>
                <w:szCs w:val="20"/>
              </w:rPr>
              <w:t>charakterystyka</w:t>
            </w:r>
            <w:r>
              <w:rPr>
                <w:rFonts w:ascii="Cambria" w:eastAsia="Cambria" w:hAnsi="Cambria" w:cs="Cambria"/>
                <w:color w:val="000000"/>
                <w:sz w:val="20"/>
                <w:szCs w:val="20"/>
              </w:rPr>
              <w:tab/>
            </w:r>
            <w:r>
              <w:rPr>
                <w:rFonts w:ascii="Cambria" w:eastAsia="Cambria" w:hAnsi="Cambria" w:cs="Cambria"/>
                <w:b/>
                <w:color w:val="000000"/>
                <w:sz w:val="20"/>
                <w:szCs w:val="20"/>
              </w:rPr>
              <w:t>kwaliﬁkacji</w:t>
            </w:r>
            <w:r>
              <w:rPr>
                <w:rFonts w:ascii="Cambria" w:eastAsia="Cambria" w:hAnsi="Cambria" w:cs="Cambria"/>
                <w:color w:val="000000"/>
                <w:sz w:val="20"/>
                <w:szCs w:val="20"/>
              </w:rPr>
              <w:tab/>
            </w:r>
            <w:r>
              <w:rPr>
                <w:rFonts w:ascii="Cambria" w:eastAsia="Cambria" w:hAnsi="Cambria" w:cs="Cambria"/>
                <w:b/>
                <w:color w:val="000000"/>
                <w:sz w:val="20"/>
                <w:szCs w:val="20"/>
              </w:rPr>
              <w:t>oraz</w:t>
            </w:r>
            <w:r>
              <w:rPr>
                <w:rFonts w:ascii="Cambria" w:eastAsia="Cambria" w:hAnsi="Cambria" w:cs="Cambria"/>
                <w:color w:val="000000"/>
                <w:sz w:val="20"/>
                <w:szCs w:val="20"/>
              </w:rPr>
              <w:tab/>
            </w:r>
            <w:r>
              <w:rPr>
                <w:rFonts w:ascii="Cambria" w:eastAsia="Cambria" w:hAnsi="Cambria" w:cs="Cambria"/>
                <w:b/>
                <w:color w:val="000000"/>
                <w:sz w:val="20"/>
                <w:szCs w:val="20"/>
              </w:rPr>
              <w:t>orientacyjny</w:t>
            </w:r>
            <w:r>
              <w:rPr>
                <w:rFonts w:ascii="Cambria" w:eastAsia="Cambria" w:hAnsi="Cambria" w:cs="Cambria"/>
                <w:color w:val="000000"/>
                <w:sz w:val="20"/>
                <w:szCs w:val="20"/>
              </w:rPr>
              <w:tab/>
            </w:r>
            <w:r>
              <w:rPr>
                <w:rFonts w:ascii="Cambria" w:eastAsia="Cambria" w:hAnsi="Cambria" w:cs="Cambria"/>
                <w:b/>
                <w:color w:val="000000"/>
                <w:sz w:val="20"/>
                <w:szCs w:val="20"/>
              </w:rPr>
              <w:t>koszt</w:t>
            </w:r>
            <w:r>
              <w:rPr>
                <w:rFonts w:ascii="Cambria" w:eastAsia="Cambria" w:hAnsi="Cambria" w:cs="Cambria"/>
                <w:color w:val="000000"/>
                <w:sz w:val="20"/>
                <w:szCs w:val="20"/>
              </w:rPr>
              <w:tab/>
            </w:r>
            <w:r>
              <w:rPr>
                <w:rFonts w:ascii="Cambria" w:eastAsia="Cambria" w:hAnsi="Cambria" w:cs="Cambria"/>
                <w:b/>
                <w:color w:val="000000"/>
                <w:sz w:val="20"/>
                <w:szCs w:val="20"/>
              </w:rPr>
              <w:t>uzyskania</w:t>
            </w:r>
            <w:r>
              <w:rPr>
                <w:rFonts w:ascii="Cambria" w:eastAsia="Cambria" w:hAnsi="Cambria" w:cs="Cambria"/>
                <w:color w:val="000000"/>
                <w:sz w:val="20"/>
                <w:szCs w:val="20"/>
              </w:rPr>
              <w:tab/>
            </w:r>
            <w:r>
              <w:rPr>
                <w:rFonts w:ascii="Cambria" w:eastAsia="Cambria" w:hAnsi="Cambria" w:cs="Cambria"/>
                <w:b/>
                <w:color w:val="000000"/>
                <w:sz w:val="20"/>
                <w:szCs w:val="20"/>
              </w:rPr>
              <w:t>dokumentu potwierdzającego otrzymanie danej kwaliﬁkacji</w:t>
            </w:r>
            <w:r>
              <w:rPr>
                <w:rFonts w:ascii="Cambria" w:eastAsia="Cambria" w:hAnsi="Cambria" w:cs="Cambria"/>
                <w:i/>
                <w:color w:val="000000"/>
                <w:sz w:val="20"/>
                <w:szCs w:val="20"/>
              </w:rPr>
              <w:t xml:space="preserve"> </w:t>
            </w:r>
          </w:p>
          <w:p w14:paraId="0B81128A" w14:textId="77777777" w:rsidR="00940F31" w:rsidRDefault="00620AE2">
            <w:pPr>
              <w:pBdr>
                <w:top w:val="nil"/>
                <w:left w:val="nil"/>
                <w:bottom w:val="nil"/>
                <w:right w:val="nil"/>
                <w:between w:val="nil"/>
              </w:pBdr>
              <w:spacing w:line="273" w:lineRule="auto"/>
              <w:ind w:left="110" w:right="90"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d). Wybrane informacje o kwalifikacji skierowane do osób zainteresowanych uzyskaniem kwalifikacji oraz do pracodawców, które pozwolą im szybko ocenić, czy dana kwalifikacja jest właśnie tą, której poszukują.</w:t>
            </w:r>
          </w:p>
          <w:p w14:paraId="71B0E8D5" w14:textId="77777777" w:rsidR="00940F31" w:rsidRDefault="00620AE2">
            <w:pPr>
              <w:pBdr>
                <w:top w:val="nil"/>
                <w:left w:val="nil"/>
                <w:bottom w:val="nil"/>
                <w:right w:val="nil"/>
                <w:between w:val="nil"/>
              </w:pBdr>
              <w:tabs>
                <w:tab w:val="left" w:pos="993"/>
                <w:tab w:val="left" w:pos="2778"/>
                <w:tab w:val="left" w:pos="4086"/>
                <w:tab w:val="left" w:pos="4720"/>
                <w:tab w:val="left" w:pos="6150"/>
                <w:tab w:val="left" w:pos="6885"/>
                <w:tab w:val="left" w:pos="8056"/>
              </w:tabs>
              <w:spacing w:before="120"/>
              <w:ind w:left="110" w:right="92" w:hanging="110"/>
              <w:rPr>
                <w:rFonts w:ascii="Cambria" w:eastAsia="Cambria" w:hAnsi="Cambria" w:cs="Cambria"/>
                <w:b/>
                <w:color w:val="000000"/>
                <w:sz w:val="20"/>
                <w:szCs w:val="20"/>
              </w:rPr>
            </w:pPr>
            <w:r>
              <w:rPr>
                <w:rFonts w:ascii="Cambria" w:eastAsia="Cambria" w:hAnsi="Cambria" w:cs="Cambria"/>
                <w:i/>
                <w:color w:val="000000"/>
                <w:sz w:val="20"/>
                <w:szCs w:val="20"/>
              </w:rPr>
              <w:t>Krótka charakterystyka może odpowiadać na pytanie: „Jakie działania lub zadania jest w stanie podejmować osoba posiadająca daną kwalifikację?”.</w:t>
            </w:r>
          </w:p>
        </w:tc>
      </w:tr>
      <w:tr w:rsidR="00940F31" w14:paraId="71037F66" w14:textId="77777777">
        <w:trPr>
          <w:trHeight w:val="760"/>
        </w:trPr>
        <w:tc>
          <w:tcPr>
            <w:tcW w:w="9286" w:type="dxa"/>
            <w:shd w:val="clear" w:color="auto" w:fill="FFFFFF"/>
          </w:tcPr>
          <w:p w14:paraId="5381B990" w14:textId="77777777" w:rsidR="00643E6A" w:rsidRPr="00643E6A" w:rsidRDefault="00643E6A" w:rsidP="00643E6A">
            <w:pPr>
              <w:pBdr>
                <w:top w:val="nil"/>
                <w:left w:val="nil"/>
                <w:bottom w:val="nil"/>
                <w:right w:val="nil"/>
                <w:between w:val="nil"/>
              </w:pBdr>
              <w:spacing w:before="123"/>
              <w:ind w:left="297" w:right="193" w:hanging="142"/>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Osoba, która posiada kwalifikację „Wdrażanie działań profilaktycznych i pomocowych ukierunkowanych na problem nienormatywnej masy ciała i zaburzeń odżywiania”, jest przygotowana do prowadzenia </w:t>
            </w:r>
            <w:r w:rsidRPr="00643E6A">
              <w:rPr>
                <w:rFonts w:ascii="Cambria" w:eastAsia="Cambria" w:hAnsi="Cambria" w:cs="Cambria"/>
                <w:color w:val="000000"/>
                <w:sz w:val="20"/>
                <w:szCs w:val="20"/>
              </w:rPr>
              <w:lastRenderedPageBreak/>
              <w:t xml:space="preserve">grupowych lub indywidualnych działań edukacyjnych skierowanych do osób nieletnich z nadwagą, otyłością, niedowagą oraz zaburzeniami odżywiania lub zagrożonych takimi problemami. W prowadzanych działaniach profilaktycznych i pomocowych rozpoznaje problemy dotyczące stanu odżywienia, sposobu żywienia i aktywności fizycznej oraz ich uwarunkowania i konsekwencji. Posługuje się w tym celu wiedzą na temat aktualnych kryteriów diagnostycznych i symptomów nienormatywnej masy ciała i zaburzeń odżywiania, jak również ich biologicznego, psychologicznego i społecznego podłoża oraz następstw. Podczas prowadzonych warsztatów i konsultacji wykorzystuje podstawową wiedzę z obszaru żywienia człowieka i dietetyki oraz techniki psychologiczne wspierające zmianę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istotnych dla masy ciała (tj. odżywiania i aktywności fizycznej) oraz dostarcza wsparcia osobom z nienormatywną masą ciała i zaburzeniami odżywiania. Warto podkreślić, że pomoc ta  polega głównie na edukacji, motywowaniu i asystowaniu takim osobom w korzystaniu z metod samopomocowych oraz informowaniu o dostępnych opcjach specjalistycznego leczenia, ale nie zastępuje pomocy specjalistycznej</w:t>
            </w:r>
          </w:p>
          <w:p w14:paraId="32B8B609" w14:textId="77777777" w:rsidR="00643E6A" w:rsidRPr="00643E6A" w:rsidRDefault="00643E6A" w:rsidP="00643E6A">
            <w:pPr>
              <w:pBdr>
                <w:top w:val="nil"/>
                <w:left w:val="nil"/>
                <w:bottom w:val="nil"/>
                <w:right w:val="nil"/>
                <w:between w:val="nil"/>
              </w:pBdr>
              <w:spacing w:before="123"/>
              <w:ind w:left="297" w:right="193" w:hanging="142"/>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Uzyskanie tej kwalifikacji pozwala osobie pracującej w obszarze edukacji (nauczycielom, psychologom, pedagogom, pielęgniarkom szkolnym, lekarzom POZ) na podejmowanie tak zwanych „wczesnych interwencji” względem osób z problemami z masą ciała lub zaburzeniami odżywiania. Jest to szczególnie ważne ze względu na obserwowany wzrost </w:t>
            </w:r>
            <w:proofErr w:type="spellStart"/>
            <w:r w:rsidRPr="00643E6A">
              <w:rPr>
                <w:rFonts w:ascii="Cambria" w:eastAsia="Cambria" w:hAnsi="Cambria" w:cs="Cambria"/>
                <w:color w:val="000000"/>
                <w:sz w:val="20"/>
                <w:szCs w:val="20"/>
              </w:rPr>
              <w:t>zachorowań</w:t>
            </w:r>
            <w:proofErr w:type="spellEnd"/>
            <w:r w:rsidRPr="00643E6A">
              <w:rPr>
                <w:rFonts w:ascii="Cambria" w:eastAsia="Cambria" w:hAnsi="Cambria" w:cs="Cambria"/>
                <w:color w:val="000000"/>
                <w:sz w:val="20"/>
                <w:szCs w:val="20"/>
              </w:rPr>
              <w:t xml:space="preserve"> na choroby </w:t>
            </w:r>
            <w:proofErr w:type="spellStart"/>
            <w:r w:rsidRPr="00643E6A">
              <w:rPr>
                <w:rFonts w:ascii="Cambria" w:eastAsia="Cambria" w:hAnsi="Cambria" w:cs="Cambria"/>
                <w:color w:val="000000"/>
                <w:sz w:val="20"/>
                <w:szCs w:val="20"/>
              </w:rPr>
              <w:t>dietozależne</w:t>
            </w:r>
            <w:proofErr w:type="spellEnd"/>
            <w:r w:rsidRPr="00643E6A">
              <w:rPr>
                <w:rFonts w:ascii="Cambria" w:eastAsia="Cambria" w:hAnsi="Cambria" w:cs="Cambria"/>
                <w:color w:val="000000"/>
                <w:sz w:val="20"/>
                <w:szCs w:val="20"/>
              </w:rPr>
              <w:t xml:space="preserve">, spowodowane nieprawidłowymi </w:t>
            </w:r>
            <w:proofErr w:type="spellStart"/>
            <w:r w:rsidRPr="00643E6A">
              <w:rPr>
                <w:rFonts w:ascii="Cambria" w:eastAsia="Cambria" w:hAnsi="Cambria" w:cs="Cambria"/>
                <w:color w:val="000000"/>
                <w:sz w:val="20"/>
                <w:szCs w:val="20"/>
              </w:rPr>
              <w:t>zachowaniami</w:t>
            </w:r>
            <w:proofErr w:type="spellEnd"/>
            <w:r w:rsidRPr="00643E6A">
              <w:rPr>
                <w:rFonts w:ascii="Cambria" w:eastAsia="Cambria" w:hAnsi="Cambria" w:cs="Cambria"/>
                <w:color w:val="000000"/>
                <w:sz w:val="20"/>
                <w:szCs w:val="20"/>
              </w:rPr>
              <w:t xml:space="preserve"> żywieniowymi oraz małą aktywnością fizyczną. Szczególnie niepokoi wzrost liczby dzieci z nadwagą i otyłością. Dodatkowo rośnie odsetek osób z zaburzeniami odżywiania – anoreksją, bulimią, czy ortoreksją.  </w:t>
            </w:r>
          </w:p>
          <w:p w14:paraId="732C403F" w14:textId="77777777" w:rsidR="00643E6A" w:rsidRPr="00643E6A" w:rsidRDefault="00643E6A" w:rsidP="00643E6A">
            <w:pPr>
              <w:pBdr>
                <w:top w:val="nil"/>
                <w:left w:val="nil"/>
                <w:bottom w:val="nil"/>
                <w:right w:val="nil"/>
                <w:between w:val="nil"/>
              </w:pBdr>
              <w:spacing w:before="123"/>
              <w:ind w:left="297" w:right="193" w:hanging="142"/>
              <w:jc w:val="both"/>
              <w:rPr>
                <w:rFonts w:ascii="Cambria" w:eastAsia="Cambria" w:hAnsi="Cambria" w:cs="Cambria"/>
                <w:color w:val="000000"/>
                <w:sz w:val="20"/>
                <w:szCs w:val="20"/>
              </w:rPr>
            </w:pPr>
          </w:p>
          <w:p w14:paraId="548AEF19" w14:textId="03A9ADF2" w:rsidR="00940F31" w:rsidRDefault="00643E6A" w:rsidP="00643E6A">
            <w:r w:rsidRPr="00643E6A">
              <w:rPr>
                <w:rFonts w:ascii="Cambria" w:eastAsia="Cambria" w:hAnsi="Cambria" w:cs="Cambria"/>
                <w:color w:val="000000"/>
                <w:sz w:val="20"/>
                <w:szCs w:val="20"/>
              </w:rPr>
              <w:t>Koszt uzyskania kwalifikacji 1700 zł</w:t>
            </w:r>
          </w:p>
        </w:tc>
      </w:tr>
    </w:tbl>
    <w:p w14:paraId="2E3B6CC8" w14:textId="77777777" w:rsidR="00940F31" w:rsidRDefault="00940F31">
      <w:pPr>
        <w:pBdr>
          <w:top w:val="nil"/>
          <w:left w:val="nil"/>
          <w:bottom w:val="nil"/>
          <w:right w:val="nil"/>
          <w:between w:val="nil"/>
        </w:pBdr>
        <w:spacing w:line="276" w:lineRule="auto"/>
      </w:pPr>
    </w:p>
    <w:tbl>
      <w:tblPr>
        <w:tblStyle w:val="a0"/>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2CC92931" w14:textId="77777777">
        <w:trPr>
          <w:trHeight w:val="2440"/>
        </w:trPr>
        <w:tc>
          <w:tcPr>
            <w:tcW w:w="9286" w:type="dxa"/>
            <w:shd w:val="clear" w:color="auto" w:fill="F2F2F2"/>
          </w:tcPr>
          <w:p w14:paraId="38C910E5"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Orientacyjny nakład pracy potrzebny do uzyskania kwaliﬁkacji [godz.]</w:t>
            </w:r>
          </w:p>
          <w:p w14:paraId="1499EBAC" w14:textId="77777777" w:rsidR="00940F31" w:rsidRDefault="00620AE2">
            <w:pPr>
              <w:pBdr>
                <w:top w:val="nil"/>
                <w:left w:val="nil"/>
                <w:bottom w:val="nil"/>
                <w:right w:val="nil"/>
                <w:between w:val="nil"/>
              </w:pBdr>
              <w:spacing w:before="118"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c). Przeciętna liczba godzin, które trzeba poświęcić na osiągnięcie efektów uczenia się wymaganych dla danej kwalifikacji oraz na ich walidację (1 godzina</w:t>
            </w:r>
          </w:p>
          <w:p w14:paraId="6FF2EE16" w14:textId="77777777" w:rsidR="00940F31" w:rsidRDefault="00620AE2">
            <w:pPr>
              <w:pBdr>
                <w:top w:val="nil"/>
                <w:left w:val="nil"/>
                <w:bottom w:val="nil"/>
                <w:right w:val="nil"/>
                <w:between w:val="nil"/>
              </w:pBdr>
              <w:spacing w:line="265"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 60 minut).</w:t>
            </w:r>
          </w:p>
          <w:p w14:paraId="55A4C291" w14:textId="77777777" w:rsidR="00940F31" w:rsidRDefault="00620AE2">
            <w:pPr>
              <w:pBdr>
                <w:top w:val="nil"/>
                <w:left w:val="nil"/>
                <w:bottom w:val="nil"/>
                <w:right w:val="nil"/>
                <w:between w:val="nil"/>
              </w:pBdr>
              <w:spacing w:before="159"/>
              <w:ind w:left="110" w:right="89" w:hanging="110"/>
              <w:jc w:val="both"/>
              <w:rPr>
                <w:rFonts w:ascii="Cambria" w:eastAsia="Cambria" w:hAnsi="Cambria" w:cs="Cambria"/>
                <w:i/>
                <w:color w:val="000000"/>
                <w:sz w:val="20"/>
                <w:szCs w:val="20"/>
              </w:rPr>
            </w:pPr>
            <w:r>
              <w:rPr>
                <w:rFonts w:ascii="Cambria" w:eastAsia="Cambria" w:hAnsi="Cambria" w:cs="Cambria"/>
                <w:i/>
                <w:color w:val="000000"/>
                <w:sz w:val="20"/>
                <w:szCs w:val="20"/>
              </w:rPr>
              <w:t>W pierwszej kolejności warto ustalić orientacyjny nakład pracy dla poszczególnych zestawów efektów uczenia się. orientacyjny nakład pracy dla kwalifikacji odpowiada sumie nakładu pracy potrzebnego do uzyskania wyodrębnionych w niej zestawów efektów uczenia się.</w:t>
            </w:r>
          </w:p>
        </w:tc>
      </w:tr>
      <w:tr w:rsidR="00940F31" w14:paraId="25CFD578" w14:textId="77777777">
        <w:trPr>
          <w:trHeight w:val="2320"/>
        </w:trPr>
        <w:tc>
          <w:tcPr>
            <w:tcW w:w="9286" w:type="dxa"/>
          </w:tcPr>
          <w:p w14:paraId="7EAAB2C6" w14:textId="77777777" w:rsidR="00643E6A" w:rsidRPr="00643E6A" w:rsidRDefault="00643E6A" w:rsidP="00643E6A">
            <w:pPr>
              <w:numPr>
                <w:ilvl w:val="0"/>
                <w:numId w:val="2"/>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Rozpoznawanie problemów dotyczących masy ciała, stanu odżywienia, sposobu żywienia i aktywności fizycznej - 50 godzin, 6 PRK</w:t>
            </w:r>
          </w:p>
          <w:p w14:paraId="759952FB" w14:textId="77777777" w:rsidR="00643E6A" w:rsidRPr="00643E6A" w:rsidRDefault="00643E6A" w:rsidP="00643E6A">
            <w:pPr>
              <w:numPr>
                <w:ilvl w:val="0"/>
                <w:numId w:val="2"/>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Posługiwanie się wiedzą o uwarunkowaniach i konsekwencjach problemów dotyczących masy ciała, stanu odżywienia, sposobu żywienia i aktywności fizycznej - 150 godzin, 6 PRK</w:t>
            </w:r>
          </w:p>
          <w:p w14:paraId="16116D88" w14:textId="77777777" w:rsidR="00643E6A" w:rsidRPr="00643E6A" w:rsidRDefault="00643E6A" w:rsidP="00643E6A">
            <w:pPr>
              <w:numPr>
                <w:ilvl w:val="0"/>
                <w:numId w:val="2"/>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Prowadzenie edukacji na temat żywienia i aktywności fizycznej - 100 godzin, 6 PRK</w:t>
            </w:r>
          </w:p>
          <w:p w14:paraId="35A3C81C" w14:textId="77777777" w:rsidR="00643E6A" w:rsidRPr="00643E6A" w:rsidRDefault="00643E6A" w:rsidP="00643E6A">
            <w:pPr>
              <w:numPr>
                <w:ilvl w:val="0"/>
                <w:numId w:val="2"/>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Planowanie i wdrażanie działań  profilaktycznych i pomocowych (tzw. wczesnych interwencji) względem osób z nienormatywną masą ciała i zaburzeniami odżywiania lub zagrożonych tymi problemami - 250 godzin, 6 PRK</w:t>
            </w:r>
          </w:p>
          <w:p w14:paraId="36CDFB6D" w14:textId="7B737924" w:rsidR="009B6F51" w:rsidRDefault="009B6F51">
            <w:pPr>
              <w:pBdr>
                <w:top w:val="nil"/>
                <w:left w:val="nil"/>
                <w:bottom w:val="nil"/>
                <w:right w:val="nil"/>
                <w:between w:val="nil"/>
              </w:pBdr>
              <w:spacing w:before="116"/>
              <w:ind w:left="110" w:hanging="110"/>
              <w:rPr>
                <w:rFonts w:ascii="Cambria" w:eastAsia="Cambria" w:hAnsi="Cambria" w:cs="Cambria"/>
                <w:color w:val="000000"/>
                <w:sz w:val="20"/>
                <w:szCs w:val="20"/>
              </w:rPr>
            </w:pPr>
          </w:p>
          <w:p w14:paraId="59B592DC" w14:textId="77777777" w:rsidR="00940F31" w:rsidRDefault="00620AE2">
            <w:pPr>
              <w:rPr>
                <w:rFonts w:ascii="Cambria" w:eastAsia="Cambria" w:hAnsi="Cambria" w:cs="Cambria"/>
                <w:sz w:val="20"/>
                <w:szCs w:val="20"/>
              </w:rPr>
            </w:pPr>
            <w:r>
              <w:rPr>
                <w:rFonts w:ascii="Cambria" w:eastAsia="Cambria" w:hAnsi="Cambria" w:cs="Cambria"/>
                <w:sz w:val="20"/>
                <w:szCs w:val="20"/>
              </w:rPr>
              <w:t>Łącznie 550 godzin</w:t>
            </w:r>
          </w:p>
        </w:tc>
      </w:tr>
      <w:tr w:rsidR="00940F31" w14:paraId="279B8D61" w14:textId="77777777">
        <w:trPr>
          <w:trHeight w:val="1400"/>
        </w:trPr>
        <w:tc>
          <w:tcPr>
            <w:tcW w:w="9286" w:type="dxa"/>
            <w:shd w:val="clear" w:color="auto" w:fill="F2F2F2"/>
          </w:tcPr>
          <w:p w14:paraId="313D2460"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Grupy osób, które mogą być zainteresowane uzyskaniem kwaliﬁkacji</w:t>
            </w:r>
          </w:p>
          <w:p w14:paraId="11A9512B" w14:textId="77777777" w:rsidR="00940F31" w:rsidRDefault="00620AE2">
            <w:pPr>
              <w:pBdr>
                <w:top w:val="nil"/>
                <w:left w:val="nil"/>
                <w:bottom w:val="nil"/>
                <w:right w:val="nil"/>
                <w:between w:val="nil"/>
              </w:pBdr>
              <w:spacing w:before="120"/>
              <w:ind w:left="110" w:right="89"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f). Informacja na temat grup osób, które mogą być szczególnie zainteresowane uzyskaniem danej kwalifikacji, np. osoby zarządzające nieruchomościami, specjaliści z zakresu telekomunikacji, kobiety powracające na rynek pracy.</w:t>
            </w:r>
          </w:p>
        </w:tc>
      </w:tr>
      <w:tr w:rsidR="00940F31" w14:paraId="799A52F4" w14:textId="77777777">
        <w:trPr>
          <w:trHeight w:val="2100"/>
        </w:trPr>
        <w:tc>
          <w:tcPr>
            <w:tcW w:w="9286" w:type="dxa"/>
          </w:tcPr>
          <w:p w14:paraId="1C801B0C" w14:textId="6B024209" w:rsidR="00940F31" w:rsidRPr="009B6F51" w:rsidRDefault="00620AE2" w:rsidP="009B6F51">
            <w:pPr>
              <w:rPr>
                <w:rFonts w:ascii="Cambria" w:eastAsia="Cambria" w:hAnsi="Cambria" w:cs="Cambria"/>
                <w:sz w:val="20"/>
                <w:szCs w:val="20"/>
              </w:rPr>
            </w:pPr>
            <w:r>
              <w:rPr>
                <w:rFonts w:ascii="Cambria" w:eastAsia="Cambria" w:hAnsi="Cambria" w:cs="Cambria"/>
                <w:sz w:val="20"/>
                <w:szCs w:val="20"/>
              </w:rPr>
              <w:t xml:space="preserve"> </w:t>
            </w:r>
            <w:r w:rsidR="00643E6A" w:rsidRPr="00643E6A">
              <w:rPr>
                <w:rFonts w:ascii="Cambria" w:eastAsia="Cambria" w:hAnsi="Cambria" w:cs="Cambria"/>
                <w:sz w:val="20"/>
                <w:szCs w:val="20"/>
              </w:rPr>
              <w:t>Uzyskaniem kwalifikacji mogą być zainteresowani szczególnie: pracownicy oświaty,  tj. nauczyciele, psychologowie szkolni, pedagodzy, pielęgniarki szkolne, lekarze POZ.</w:t>
            </w:r>
          </w:p>
        </w:tc>
      </w:tr>
    </w:tbl>
    <w:p w14:paraId="306D524D" w14:textId="17FB4CA5" w:rsidR="00940F31" w:rsidRDefault="00940F31">
      <w:pPr>
        <w:pBdr>
          <w:top w:val="nil"/>
          <w:left w:val="nil"/>
          <w:bottom w:val="nil"/>
          <w:right w:val="nil"/>
          <w:between w:val="nil"/>
        </w:pBdr>
        <w:spacing w:line="276" w:lineRule="auto"/>
        <w:rPr>
          <w:rFonts w:ascii="Cambria" w:eastAsia="Cambria" w:hAnsi="Cambria" w:cs="Cambria"/>
          <w:color w:val="000000"/>
          <w:sz w:val="20"/>
          <w:szCs w:val="20"/>
        </w:rPr>
      </w:pPr>
    </w:p>
    <w:p w14:paraId="1EB82571" w14:textId="77777777" w:rsidR="00C740E9" w:rsidRDefault="00C740E9">
      <w:pPr>
        <w:pBdr>
          <w:top w:val="nil"/>
          <w:left w:val="nil"/>
          <w:bottom w:val="nil"/>
          <w:right w:val="nil"/>
          <w:between w:val="nil"/>
        </w:pBdr>
        <w:spacing w:line="276" w:lineRule="auto"/>
        <w:rPr>
          <w:rFonts w:ascii="Cambria" w:eastAsia="Cambria" w:hAnsi="Cambria" w:cs="Cambria"/>
          <w:color w:val="000000"/>
          <w:sz w:val="20"/>
          <w:szCs w:val="20"/>
        </w:rPr>
      </w:pPr>
    </w:p>
    <w:tbl>
      <w:tblPr>
        <w:tblStyle w:val="a1"/>
        <w:tblW w:w="92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61399AE1" w14:textId="77777777">
        <w:trPr>
          <w:trHeight w:val="1400"/>
        </w:trPr>
        <w:tc>
          <w:tcPr>
            <w:tcW w:w="9286" w:type="dxa"/>
            <w:shd w:val="clear" w:color="auto" w:fill="F2F2F2"/>
          </w:tcPr>
          <w:p w14:paraId="2D9B7498" w14:textId="77777777" w:rsidR="00940F31" w:rsidRDefault="00620AE2">
            <w:pPr>
              <w:pBdr>
                <w:top w:val="nil"/>
                <w:left w:val="nil"/>
                <w:bottom w:val="nil"/>
                <w:right w:val="nil"/>
                <w:between w:val="nil"/>
              </w:pBdr>
              <w:spacing w:before="110"/>
              <w:ind w:left="-9" w:firstLine="9"/>
              <w:rPr>
                <w:rFonts w:ascii="Cambria" w:eastAsia="Cambria" w:hAnsi="Cambria" w:cs="Cambria"/>
                <w:b/>
                <w:color w:val="000000"/>
                <w:sz w:val="20"/>
                <w:szCs w:val="20"/>
              </w:rPr>
            </w:pPr>
            <w:r>
              <w:rPr>
                <w:rFonts w:ascii="Cambria" w:eastAsia="Cambria" w:hAnsi="Cambria" w:cs="Cambria"/>
                <w:b/>
                <w:color w:val="000000"/>
                <w:sz w:val="20"/>
                <w:szCs w:val="20"/>
              </w:rPr>
              <w:lastRenderedPageBreak/>
              <w:t>Wymagane kwaliﬁkacje poprzedzające</w:t>
            </w:r>
          </w:p>
          <w:p w14:paraId="3FD4C941" w14:textId="77777777" w:rsidR="00940F31" w:rsidRDefault="00620AE2">
            <w:pPr>
              <w:pBdr>
                <w:top w:val="nil"/>
                <w:left w:val="nil"/>
                <w:bottom w:val="nil"/>
                <w:right w:val="nil"/>
                <w:between w:val="nil"/>
              </w:pBdr>
              <w:spacing w:before="120"/>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nieobowiązkowe. Kwalifikacje pełne i cząstkowe, które musi posiadać osoba ubiegająca się o kwalifikację, by przystąpić do procesu weryfikacji osiągnięcia efektów uczenia się wymaganych dla kwalifikacji.</w:t>
            </w:r>
          </w:p>
        </w:tc>
      </w:tr>
      <w:tr w:rsidR="00940F31" w14:paraId="27575840" w14:textId="77777777">
        <w:trPr>
          <w:trHeight w:val="520"/>
        </w:trPr>
        <w:tc>
          <w:tcPr>
            <w:tcW w:w="9286" w:type="dxa"/>
          </w:tcPr>
          <w:p w14:paraId="79F78286" w14:textId="77777777" w:rsidR="00940F31" w:rsidRDefault="00620AE2">
            <w:pPr>
              <w:pBdr>
                <w:top w:val="nil"/>
                <w:left w:val="nil"/>
                <w:bottom w:val="nil"/>
                <w:right w:val="nil"/>
                <w:between w:val="nil"/>
              </w:pBdr>
              <w:spacing w:line="261" w:lineRule="auto"/>
              <w:ind w:left="110" w:hanging="110"/>
              <w:rPr>
                <w:rFonts w:ascii="Cambria" w:eastAsia="Cambria" w:hAnsi="Cambria" w:cs="Cambria"/>
                <w:color w:val="000000"/>
                <w:sz w:val="20"/>
                <w:szCs w:val="20"/>
              </w:rPr>
            </w:pPr>
            <w:r>
              <w:rPr>
                <w:rFonts w:ascii="Cambria" w:eastAsia="Cambria" w:hAnsi="Cambria" w:cs="Cambria"/>
                <w:color w:val="000000"/>
                <w:sz w:val="20"/>
                <w:szCs w:val="20"/>
              </w:rPr>
              <w:t xml:space="preserve">Kwalifikacja pełna </w:t>
            </w:r>
            <w:r>
              <w:rPr>
                <w:rFonts w:ascii="Cambria" w:eastAsia="Cambria" w:hAnsi="Cambria" w:cs="Cambria"/>
                <w:sz w:val="20"/>
                <w:szCs w:val="20"/>
              </w:rPr>
              <w:t>z</w:t>
            </w:r>
            <w:r>
              <w:rPr>
                <w:rFonts w:ascii="Cambria" w:eastAsia="Cambria" w:hAnsi="Cambria" w:cs="Cambria"/>
                <w:color w:val="000000"/>
                <w:sz w:val="20"/>
                <w:szCs w:val="20"/>
              </w:rPr>
              <w:t xml:space="preserve"> poziom</w:t>
            </w:r>
            <w:r>
              <w:rPr>
                <w:rFonts w:ascii="Cambria" w:eastAsia="Cambria" w:hAnsi="Cambria" w:cs="Cambria"/>
                <w:sz w:val="20"/>
                <w:szCs w:val="20"/>
              </w:rPr>
              <w:t>em</w:t>
            </w:r>
            <w:r>
              <w:rPr>
                <w:rFonts w:ascii="Cambria" w:eastAsia="Cambria" w:hAnsi="Cambria" w:cs="Cambria"/>
                <w:color w:val="000000"/>
                <w:sz w:val="20"/>
                <w:szCs w:val="20"/>
              </w:rPr>
              <w:t xml:space="preserve"> 7 PRK</w:t>
            </w:r>
          </w:p>
        </w:tc>
      </w:tr>
      <w:tr w:rsidR="00940F31" w14:paraId="40A89F89" w14:textId="77777777">
        <w:trPr>
          <w:trHeight w:val="3540"/>
        </w:trPr>
        <w:tc>
          <w:tcPr>
            <w:tcW w:w="9286" w:type="dxa"/>
            <w:shd w:val="clear" w:color="auto" w:fill="F2F2F2"/>
          </w:tcPr>
          <w:p w14:paraId="5CE1559B"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W razie potrzeby warunki, jakie musi spełniać osoba przystępująca do walidacji</w:t>
            </w:r>
          </w:p>
          <w:p w14:paraId="4B9E0AA7" w14:textId="77777777" w:rsidR="00940F31" w:rsidRDefault="00620AE2">
            <w:pPr>
              <w:pBdr>
                <w:top w:val="nil"/>
                <w:left w:val="nil"/>
                <w:bottom w:val="nil"/>
                <w:right w:val="nil"/>
                <w:between w:val="nil"/>
              </w:pBdr>
              <w:spacing w:before="118" w:line="273" w:lineRule="auto"/>
              <w:ind w:left="110" w:right="89"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ust.1 pkt 2) lit. g). Określenie (w razie potrzeby) warunków, które musi spełniać osoba, aby przystąpić do walidacji i móc uzyskać kwalifikację (np. wymagany poziom wykształcenia).</w:t>
            </w:r>
          </w:p>
          <w:p w14:paraId="090B7F5D" w14:textId="77777777" w:rsidR="00940F31" w:rsidRDefault="00620AE2">
            <w:pPr>
              <w:pBdr>
                <w:top w:val="nil"/>
                <w:left w:val="nil"/>
                <w:bottom w:val="nil"/>
                <w:right w:val="nil"/>
                <w:between w:val="nil"/>
              </w:pBdr>
              <w:spacing w:before="117" w:line="273" w:lineRule="auto"/>
              <w:ind w:left="110" w:right="89" w:hanging="110"/>
              <w:jc w:val="both"/>
              <w:rPr>
                <w:rFonts w:ascii="Cambria" w:eastAsia="Cambria" w:hAnsi="Cambria" w:cs="Cambria"/>
                <w:i/>
                <w:color w:val="000000"/>
                <w:sz w:val="20"/>
                <w:szCs w:val="20"/>
              </w:rPr>
            </w:pPr>
            <w:r>
              <w:rPr>
                <w:rFonts w:ascii="Cambria" w:eastAsia="Cambria" w:hAnsi="Cambria" w:cs="Cambria"/>
                <w:i/>
                <w:color w:val="000000"/>
                <w:sz w:val="20"/>
                <w:szCs w:val="20"/>
              </w:rPr>
              <w:t>Podczas określania tych warunków warto mieć na uwadze, że nie są one tożsame z warunkami zatrudnienia (np. ważnymi badaniami lekarskimi). Doświadczenie zawodowe powinno być wskazywane jako warunek jedynie w uzasadnionych przypadkach – kompetencje wynikające z praktyki zawodowej powinny być odzwierciedlone przede wszystkim w efektach uczenia się wymaganych dla kwalifikacji.</w:t>
            </w:r>
          </w:p>
          <w:p w14:paraId="1921CC55" w14:textId="77777777" w:rsidR="00940F31" w:rsidRDefault="00620AE2">
            <w:pPr>
              <w:pBdr>
                <w:top w:val="nil"/>
                <w:left w:val="nil"/>
                <w:bottom w:val="nil"/>
                <w:right w:val="nil"/>
                <w:between w:val="nil"/>
              </w:pBdr>
              <w:spacing w:before="113"/>
              <w:ind w:left="110" w:hanging="110"/>
              <w:jc w:val="both"/>
              <w:rPr>
                <w:rFonts w:ascii="Cambria" w:eastAsia="Cambria" w:hAnsi="Cambria" w:cs="Cambria"/>
                <w:i/>
                <w:color w:val="000000"/>
                <w:sz w:val="20"/>
                <w:szCs w:val="20"/>
              </w:rPr>
            </w:pPr>
            <w:r>
              <w:rPr>
                <w:rFonts w:ascii="Cambria" w:eastAsia="Cambria" w:hAnsi="Cambria" w:cs="Cambria"/>
                <w:i/>
                <w:color w:val="000000"/>
                <w:sz w:val="20"/>
                <w:szCs w:val="20"/>
              </w:rPr>
              <w:t>Wskazane warunki przystąpienia do walidacji powinny być możliwe do zweryfikowania.</w:t>
            </w:r>
          </w:p>
        </w:tc>
      </w:tr>
      <w:tr w:rsidR="00940F31" w14:paraId="0670454A" w14:textId="77777777">
        <w:trPr>
          <w:trHeight w:val="500"/>
        </w:trPr>
        <w:tc>
          <w:tcPr>
            <w:tcW w:w="9286" w:type="dxa"/>
          </w:tcPr>
          <w:p w14:paraId="1FFD2FA0"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highlight w:val="yellow"/>
              </w:rPr>
            </w:pPr>
            <w:r>
              <w:rPr>
                <w:rFonts w:ascii="Cambria" w:eastAsia="Cambria" w:hAnsi="Cambria" w:cs="Cambria"/>
                <w:color w:val="000000"/>
                <w:sz w:val="20"/>
                <w:szCs w:val="20"/>
              </w:rPr>
              <w:t xml:space="preserve">Kwalifikacja pełna </w:t>
            </w:r>
            <w:r>
              <w:rPr>
                <w:rFonts w:ascii="Cambria" w:eastAsia="Cambria" w:hAnsi="Cambria" w:cs="Cambria"/>
                <w:sz w:val="20"/>
                <w:szCs w:val="20"/>
              </w:rPr>
              <w:t>z</w:t>
            </w:r>
            <w:r>
              <w:rPr>
                <w:rFonts w:ascii="Cambria" w:eastAsia="Cambria" w:hAnsi="Cambria" w:cs="Cambria"/>
                <w:color w:val="000000"/>
                <w:sz w:val="20"/>
                <w:szCs w:val="20"/>
              </w:rPr>
              <w:t xml:space="preserve"> poziom</w:t>
            </w:r>
            <w:r>
              <w:rPr>
                <w:rFonts w:ascii="Cambria" w:eastAsia="Cambria" w:hAnsi="Cambria" w:cs="Cambria"/>
                <w:sz w:val="20"/>
                <w:szCs w:val="20"/>
              </w:rPr>
              <w:t>em</w:t>
            </w:r>
            <w:r>
              <w:rPr>
                <w:rFonts w:ascii="Cambria" w:eastAsia="Cambria" w:hAnsi="Cambria" w:cs="Cambria"/>
                <w:color w:val="000000"/>
                <w:sz w:val="20"/>
                <w:szCs w:val="20"/>
              </w:rPr>
              <w:t xml:space="preserve"> 7 PRK</w:t>
            </w:r>
            <w:r>
              <w:rPr>
                <w:rFonts w:ascii="Cambria" w:eastAsia="Cambria" w:hAnsi="Cambria" w:cs="Cambria"/>
                <w:color w:val="000000"/>
                <w:sz w:val="20"/>
                <w:szCs w:val="20"/>
                <w:highlight w:val="yellow"/>
              </w:rPr>
              <w:t xml:space="preserve"> </w:t>
            </w:r>
          </w:p>
          <w:p w14:paraId="4F18D355" w14:textId="77777777" w:rsidR="00940F31" w:rsidRDefault="00940F31">
            <w:pPr>
              <w:pBdr>
                <w:top w:val="nil"/>
                <w:left w:val="nil"/>
                <w:bottom w:val="nil"/>
                <w:right w:val="nil"/>
                <w:between w:val="nil"/>
              </w:pBdr>
              <w:spacing w:before="116"/>
              <w:rPr>
                <w:rFonts w:ascii="Cambria" w:eastAsia="Cambria" w:hAnsi="Cambria" w:cs="Cambria"/>
                <w:color w:val="000000"/>
                <w:sz w:val="20"/>
                <w:szCs w:val="20"/>
              </w:rPr>
            </w:pPr>
          </w:p>
        </w:tc>
      </w:tr>
      <w:tr w:rsidR="00940F31" w14:paraId="7B40B22F" w14:textId="77777777">
        <w:trPr>
          <w:trHeight w:val="1980"/>
        </w:trPr>
        <w:tc>
          <w:tcPr>
            <w:tcW w:w="9286" w:type="dxa"/>
            <w:shd w:val="clear" w:color="auto" w:fill="F2F2F2"/>
          </w:tcPr>
          <w:p w14:paraId="1C1EE075"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Zapotrzebowanie na kwalifikację</w:t>
            </w:r>
          </w:p>
          <w:p w14:paraId="6795A14C" w14:textId="77777777" w:rsidR="00940F31" w:rsidRDefault="00620AE2">
            <w:pPr>
              <w:pBdr>
                <w:top w:val="nil"/>
                <w:left w:val="nil"/>
                <w:bottom w:val="nil"/>
                <w:right w:val="nil"/>
                <w:between w:val="nil"/>
              </w:pBdr>
              <w:spacing w:before="158" w:line="271"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ust.1 pkt 2) lit. i). Wykazanie, że kwalifikacja odpowiada na aktualne oraz przewidywane potrzeby społeczne i gospodarcze (regionalne, krajowe, europejskie).</w:t>
            </w:r>
          </w:p>
          <w:p w14:paraId="7259D4AC" w14:textId="77777777" w:rsidR="00940F31" w:rsidRDefault="00620AE2">
            <w:pPr>
              <w:pBdr>
                <w:top w:val="nil"/>
                <w:left w:val="nil"/>
                <w:bottom w:val="nil"/>
                <w:right w:val="nil"/>
                <w:between w:val="nil"/>
              </w:pBdr>
              <w:spacing w:before="123" w:line="271" w:lineRule="auto"/>
              <w:ind w:left="110" w:right="-6" w:hanging="110"/>
              <w:rPr>
                <w:rFonts w:ascii="Cambria" w:eastAsia="Cambria" w:hAnsi="Cambria" w:cs="Cambria"/>
                <w:i/>
                <w:color w:val="000000"/>
                <w:sz w:val="20"/>
                <w:szCs w:val="20"/>
              </w:rPr>
            </w:pPr>
            <w:r>
              <w:rPr>
                <w:rFonts w:ascii="Cambria" w:eastAsia="Cambria" w:hAnsi="Cambria" w:cs="Cambria"/>
                <w:i/>
                <w:color w:val="000000"/>
                <w:sz w:val="20"/>
                <w:szCs w:val="20"/>
              </w:rPr>
              <w:t>Możliwe jest odwołanie się do opinii organizacji gospodarczych, trendów na rynku pracy, prognoz dotyczących rozwoju technologii, a także strategii rozwoju kraju lub regionu.</w:t>
            </w:r>
          </w:p>
        </w:tc>
      </w:tr>
      <w:tr w:rsidR="00940F31" w14:paraId="404A870F" w14:textId="77777777">
        <w:trPr>
          <w:trHeight w:val="4080"/>
        </w:trPr>
        <w:tc>
          <w:tcPr>
            <w:tcW w:w="9286" w:type="dxa"/>
          </w:tcPr>
          <w:p w14:paraId="6746D81E"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Uzasadnienie zapotrzebowania na kwalifikacje i omówienie zasadności wprowadzenia jej do ZSK zostaną dokonane w oparciu o poniżej przytoczone i omówione źródła.</w:t>
            </w:r>
          </w:p>
          <w:p w14:paraId="23DDD6F5"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108C499A"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Problem  nieprawidłowych nawyków żywieniowych i dotyczących aktywności fizycznej oraz nadwagi i otyłości</w:t>
            </w:r>
          </w:p>
          <w:p w14:paraId="70F04F31"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Nieprawidłowe nawyki żywieniowe przekładają się na nienormatywną masę ciała, niedożywienie i pogorszenie innych parametrów zdrowotnych, a w konsekwencji na niezadowolenie z siebie i na słabsze funkcjonowanie w życiu osobistym i zawodowym (</w:t>
            </w:r>
            <w:proofErr w:type="spellStart"/>
            <w:r w:rsidRPr="00643E6A">
              <w:rPr>
                <w:rFonts w:ascii="Cambria" w:eastAsia="Cambria" w:hAnsi="Cambria" w:cs="Cambria"/>
                <w:color w:val="000000"/>
                <w:sz w:val="20"/>
                <w:szCs w:val="20"/>
              </w:rPr>
              <w:t>Kilicarslan</w:t>
            </w:r>
            <w:proofErr w:type="spellEnd"/>
            <w:r w:rsidRPr="00643E6A">
              <w:rPr>
                <w:rFonts w:ascii="Cambria" w:eastAsia="Cambria" w:hAnsi="Cambria" w:cs="Cambria"/>
                <w:color w:val="000000"/>
                <w:sz w:val="20"/>
                <w:szCs w:val="20"/>
              </w:rPr>
              <w:t xml:space="preserve"> i in., 2006). Z badań prowadzonych w Polsce wiadomo natomiast, że dieta dorosłych Polaków cechuje się wysoką niezgodnością względem zaleceń żywieniowych, a odsetek osób z nadmierną masą ciała wynosi ponad 50% (CBOS, 2014). Podobnie sytuacja wygląda wśród młodzieży, np. badania prowadzone przez Instytut Matki i Dziecka wskazują, że aż 28% młodych ludzi przynajmniej raz dziennie spożywa słodycze, a 23,4% codziennie pije coca-colę lub inne napoje zawierające cukier (</w:t>
            </w:r>
            <w:proofErr w:type="spellStart"/>
            <w:r w:rsidRPr="00643E6A">
              <w:rPr>
                <w:rFonts w:ascii="Cambria" w:eastAsia="Cambria" w:hAnsi="Cambria" w:cs="Cambria"/>
                <w:color w:val="000000"/>
                <w:sz w:val="20"/>
                <w:szCs w:val="20"/>
              </w:rPr>
              <w:t>Dzielska</w:t>
            </w:r>
            <w:proofErr w:type="spellEnd"/>
            <w:r w:rsidRPr="00643E6A">
              <w:rPr>
                <w:rFonts w:ascii="Cambria" w:eastAsia="Cambria" w:hAnsi="Cambria" w:cs="Cambria"/>
                <w:color w:val="000000"/>
                <w:sz w:val="20"/>
                <w:szCs w:val="20"/>
              </w:rPr>
              <w:t>, 2015), 36,1%  nie je regularnie śniadań (</w:t>
            </w:r>
            <w:proofErr w:type="spellStart"/>
            <w:r w:rsidRPr="00643E6A">
              <w:rPr>
                <w:rFonts w:ascii="Cambria" w:eastAsia="Cambria" w:hAnsi="Cambria" w:cs="Cambria"/>
                <w:color w:val="000000"/>
                <w:sz w:val="20"/>
                <w:szCs w:val="20"/>
              </w:rPr>
              <w:t>Jodkowska</w:t>
            </w:r>
            <w:proofErr w:type="spellEnd"/>
            <w:r w:rsidRPr="00643E6A">
              <w:rPr>
                <w:rFonts w:ascii="Cambria" w:eastAsia="Cambria" w:hAnsi="Cambria" w:cs="Cambria"/>
                <w:color w:val="000000"/>
                <w:sz w:val="20"/>
                <w:szCs w:val="20"/>
              </w:rPr>
              <w:t>, 2015), a jedynie 18,3% spełnia zalecaną normę spożycia owoców i tylko 13,6% warzyw (</w:t>
            </w:r>
            <w:proofErr w:type="spellStart"/>
            <w:r w:rsidRPr="00643E6A">
              <w:rPr>
                <w:rFonts w:ascii="Cambria" w:eastAsia="Cambria" w:hAnsi="Cambria" w:cs="Cambria"/>
                <w:color w:val="000000"/>
                <w:sz w:val="20"/>
                <w:szCs w:val="20"/>
              </w:rPr>
              <w:t>Dzielska</w:t>
            </w:r>
            <w:proofErr w:type="spellEnd"/>
            <w:r w:rsidRPr="00643E6A">
              <w:rPr>
                <w:rFonts w:ascii="Cambria" w:eastAsia="Cambria" w:hAnsi="Cambria" w:cs="Cambria"/>
                <w:color w:val="000000"/>
                <w:sz w:val="20"/>
                <w:szCs w:val="20"/>
              </w:rPr>
              <w:t>, 2015). Z analizy przeprowadzonej przez Szkołę Główną Gospodarstwa Wiejskiego w Warszawie (Raport na temat spożycia produktów spożywczych, w tym suplementów diety, w ramach realizacji Narodowego Programu Zdrowia na lata 2016-2020) wynika, że w diecie populacji polskiej występują liczne nieprawidłowości, które mogą pociągać za sobą ryzyko zdrowotne. W ostatnich latach zauważalny jest wzrost spożycia cukru pod różnymi postaciami (cukier ukryty, cukier dodany). Zgodnie z danymi GUS, w 2018 r. roczne spożycie cukru w Polsce w przeliczeniu na jednego mieszkańca wynosiło 51,1 kg. Podobnie tylko 24% młodych ludzi utrzymuje zalecany poziom aktywności fizycznej, a dodatkowym, niepokojącym problemem jest zbyt długi czas spędzany przy komputerze (Nałęcz, 2015a, b). Jednocześnie wiadomo, że około 15% uczniów ma nadmierną masę ciała (</w:t>
            </w:r>
            <w:proofErr w:type="spellStart"/>
            <w:r w:rsidRPr="00643E6A">
              <w:rPr>
                <w:rFonts w:ascii="Cambria" w:eastAsia="Cambria" w:hAnsi="Cambria" w:cs="Cambria"/>
                <w:color w:val="000000"/>
                <w:sz w:val="20"/>
                <w:szCs w:val="20"/>
              </w:rPr>
              <w:t>Oblacińska</w:t>
            </w:r>
            <w:proofErr w:type="spellEnd"/>
            <w:r w:rsidRPr="00643E6A">
              <w:rPr>
                <w:rFonts w:ascii="Cambria" w:eastAsia="Cambria" w:hAnsi="Cambria" w:cs="Cambria"/>
                <w:color w:val="000000"/>
                <w:sz w:val="20"/>
                <w:szCs w:val="20"/>
              </w:rPr>
              <w:t xml:space="preserve">, 2015), a co szósty polski nastolatek zgłasza poważne zastrzeżenia w odniesieniu do własnego zdrowia (Mazur, </w:t>
            </w:r>
            <w:r w:rsidRPr="00643E6A">
              <w:rPr>
                <w:rFonts w:ascii="Cambria" w:eastAsia="Cambria" w:hAnsi="Cambria" w:cs="Cambria"/>
                <w:color w:val="000000"/>
                <w:sz w:val="20"/>
                <w:szCs w:val="20"/>
              </w:rPr>
              <w:lastRenderedPageBreak/>
              <w:t xml:space="preserve">2015). Polskie dzieci zaliczane są od kilku lat do najszybciej tyjących w Europie. Według wyników projektu badawczego pn. </w:t>
            </w:r>
            <w:proofErr w:type="spellStart"/>
            <w:r w:rsidRPr="00643E6A">
              <w:rPr>
                <w:rFonts w:ascii="Cambria" w:eastAsia="Cambria" w:hAnsi="Cambria" w:cs="Cambria"/>
                <w:color w:val="000000"/>
                <w:sz w:val="20"/>
                <w:szCs w:val="20"/>
              </w:rPr>
              <w:t>European</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Childhood</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Obesity</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Surveillance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Initiative</w:t>
            </w:r>
            <w:proofErr w:type="spellEnd"/>
            <w:r w:rsidRPr="00643E6A">
              <w:rPr>
                <w:rFonts w:ascii="Cambria" w:eastAsia="Cambria" w:hAnsi="Cambria" w:cs="Cambria"/>
                <w:color w:val="000000"/>
                <w:sz w:val="20"/>
                <w:szCs w:val="20"/>
              </w:rPr>
              <w:t xml:space="preserve"> (COSI) – Europejski Projekt Monitorowania Otyłości Dzieci, realizowanego po raz pierwszy przez Polskę w latach 2016-2017, koordynowanego przez Instytut Matki i Dziecka w Warszawie w ramach Narodowego Programu Zdrowia na lata 2016-2020, prawie 1/3 polskich 8-latków ma nadwagę lub jest otyła. Dane te wskazują na konieczność podejmowania działań na rzecz poprawy sposobu żywienia, stanu odżywienia i aktywności fizycznej społeczeństwa. </w:t>
            </w:r>
          </w:p>
          <w:p w14:paraId="4E1AF81F"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7BAD97B2"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Nadmierna masa ciała i stosowanie diet odchudzających a zaburzenia odżywiania</w:t>
            </w:r>
          </w:p>
          <w:p w14:paraId="4DA19115"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Polska należy do krajów o najwyższym odsetku odchudzających się nastolatków. Z raportu Zdrowie uczniów w 2018 r. na tle nowego modelu badań HBS wynika, że w 2018 r. co piaty badany nastolatek w wieku 11-15 lat podejmował zachowania ukierunkowane na zmniejszenie masy ciała. Znacznie częściej odchudzały się dziewczęta (25,4%) niż chłopcy (16,2%). Co czwarty badany nastolatek uważał, że powinien trochę schudnąć, ale nie stosował diety i innych działań w tym celu. Potrzeba (gotowość) do podjęcia odchudzania się częściej występowała u dziewcząt niż u chłopców. Odsetek młodzieży odchudzającej się systematycznie zwiększał się z wiekiem. W kontekście epidemii nadwagi i otyłości obserwuje się ponadto niepokojące zjawiska, związane z ryzykiem rozwoju zaburzeń odżywiania, takie jak niezadowolenie z własnego ciała lub podejmowanie diet odchudzających. Z polskich badań wynika na przykład, że odchudza się co druga nastolatka i co trzeci nastolatek z nadwagą, jak również wiadomo, że niemal co druga nastolatka bez nadwagi uważa, że jest za gruba (</w:t>
            </w:r>
            <w:proofErr w:type="spellStart"/>
            <w:r w:rsidRPr="00643E6A">
              <w:rPr>
                <w:rFonts w:ascii="Cambria" w:eastAsia="Cambria" w:hAnsi="Cambria" w:cs="Cambria"/>
                <w:color w:val="000000"/>
                <w:sz w:val="20"/>
                <w:szCs w:val="20"/>
              </w:rPr>
              <w:t>Oblacińska</w:t>
            </w:r>
            <w:proofErr w:type="spellEnd"/>
            <w:r w:rsidRPr="00643E6A">
              <w:rPr>
                <w:rFonts w:ascii="Cambria" w:eastAsia="Cambria" w:hAnsi="Cambria" w:cs="Cambria"/>
                <w:color w:val="000000"/>
                <w:sz w:val="20"/>
                <w:szCs w:val="20"/>
              </w:rPr>
              <w:t>, 2015), a co czwarta (z masą ciała w normie) podejmuje diety odchudzające (i co 10 chłopiec bez nadwagi) (</w:t>
            </w:r>
            <w:proofErr w:type="spellStart"/>
            <w:r w:rsidRPr="00643E6A">
              <w:rPr>
                <w:rFonts w:ascii="Cambria" w:eastAsia="Cambria" w:hAnsi="Cambria" w:cs="Cambria"/>
                <w:color w:val="000000"/>
                <w:sz w:val="20"/>
                <w:szCs w:val="20"/>
              </w:rPr>
              <w:t>Jodkowska</w:t>
            </w:r>
            <w:proofErr w:type="spellEnd"/>
            <w:r w:rsidRPr="00643E6A">
              <w:rPr>
                <w:rFonts w:ascii="Cambria" w:eastAsia="Cambria" w:hAnsi="Cambria" w:cs="Cambria"/>
                <w:color w:val="000000"/>
                <w:sz w:val="20"/>
                <w:szCs w:val="20"/>
              </w:rPr>
              <w:t>, 2015).  Inne źródła wskazują, że w Polsce połowa nastolatków zgłasza nadmierną konsumpcję, 40% odczuwa lęk przed otyłością, 28% odczuwa jadłowstręt i prawie co dziesiąty prowokuje wymioty (Wojtyła 2011). Literatura wskazuje także, że zaburzenia odżywiania współwystępują z otyłością nawet u 29% pacjentów (</w:t>
            </w:r>
            <w:proofErr w:type="spellStart"/>
            <w:r w:rsidRPr="00643E6A">
              <w:rPr>
                <w:rFonts w:ascii="Cambria" w:eastAsia="Cambria" w:hAnsi="Cambria" w:cs="Cambria"/>
                <w:color w:val="000000"/>
                <w:sz w:val="20"/>
                <w:szCs w:val="20"/>
              </w:rPr>
              <w:t>Villarejo</w:t>
            </w:r>
            <w:proofErr w:type="spellEnd"/>
            <w:r w:rsidRPr="00643E6A">
              <w:rPr>
                <w:rFonts w:ascii="Cambria" w:eastAsia="Cambria" w:hAnsi="Cambria" w:cs="Cambria"/>
                <w:color w:val="000000"/>
                <w:sz w:val="20"/>
                <w:szCs w:val="20"/>
              </w:rPr>
              <w:t xml:space="preserve"> i in., 2012).  </w:t>
            </w:r>
          </w:p>
          <w:p w14:paraId="4A47B190"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  </w:t>
            </w:r>
          </w:p>
          <w:p w14:paraId="3B73C079"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Wiadomo więc, że problem nadmiernej masy ciała i zaburzeń odżywiania wyraźnie się łączą, a interwencje ukierunkowane na modyfikację nawyków żywieniowych powinny mieć na celu raczej pomoc osobom z nienormatywną masą ciała (lub zagrożonych tym problemem) w prawidłowej regulacji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żywieniowych i umiejętne radzenie sobie z pokusami żywieniowymi niż motywowanie do stosowania ograniczeń i diet, które stanowią czynnik ryzyka dla zaburzeń odżywiania (por. przegląd badań </w:t>
            </w:r>
            <w:proofErr w:type="spellStart"/>
            <w:r w:rsidRPr="00643E6A">
              <w:rPr>
                <w:rFonts w:ascii="Cambria" w:eastAsia="Cambria" w:hAnsi="Cambria" w:cs="Cambria"/>
                <w:color w:val="000000"/>
                <w:sz w:val="20"/>
                <w:szCs w:val="20"/>
              </w:rPr>
              <w:t>Seligman</w:t>
            </w:r>
            <w:proofErr w:type="spellEnd"/>
            <w:r w:rsidRPr="00643E6A">
              <w:rPr>
                <w:rFonts w:ascii="Cambria" w:eastAsia="Cambria" w:hAnsi="Cambria" w:cs="Cambria"/>
                <w:color w:val="000000"/>
                <w:sz w:val="20"/>
                <w:szCs w:val="20"/>
              </w:rPr>
              <w:t xml:space="preserve">, 2010; </w:t>
            </w:r>
            <w:proofErr w:type="spellStart"/>
            <w:r w:rsidRPr="00643E6A">
              <w:rPr>
                <w:rFonts w:ascii="Cambria" w:eastAsia="Cambria" w:hAnsi="Cambria" w:cs="Cambria"/>
                <w:color w:val="000000"/>
                <w:sz w:val="20"/>
                <w:szCs w:val="20"/>
              </w:rPr>
              <w:t>Culbert</w:t>
            </w:r>
            <w:proofErr w:type="spellEnd"/>
            <w:r w:rsidRPr="00643E6A">
              <w:rPr>
                <w:rFonts w:ascii="Cambria" w:eastAsia="Cambria" w:hAnsi="Cambria" w:cs="Cambria"/>
                <w:color w:val="000000"/>
                <w:sz w:val="20"/>
                <w:szCs w:val="20"/>
              </w:rPr>
              <w:t xml:space="preserve">, Racine i </w:t>
            </w:r>
            <w:proofErr w:type="spellStart"/>
            <w:r w:rsidRPr="00643E6A">
              <w:rPr>
                <w:rFonts w:ascii="Cambria" w:eastAsia="Cambria" w:hAnsi="Cambria" w:cs="Cambria"/>
                <w:color w:val="000000"/>
                <w:sz w:val="20"/>
                <w:szCs w:val="20"/>
              </w:rPr>
              <w:t>Klump</w:t>
            </w:r>
            <w:proofErr w:type="spellEnd"/>
            <w:r w:rsidRPr="00643E6A">
              <w:rPr>
                <w:rFonts w:ascii="Cambria" w:eastAsia="Cambria" w:hAnsi="Cambria" w:cs="Cambria"/>
                <w:color w:val="000000"/>
                <w:sz w:val="20"/>
                <w:szCs w:val="20"/>
              </w:rPr>
              <w:t>, 2015 ). Ponadto realizacja zaleceń mających na celu terapię nienormatywnej masy ciała i zaburzeń odżywiania, przygotowanych przez specjalistów zajmujących się problemami żywieniowymi (dietetyków, psychologów) powinny być wspierane przez osoby z najbliższego otoczenia osoby dotkniętej problemem, np. przez nauczycieli, pedagogów szkolnych, pielęgniarki szkolne itp.  Nie jest to natomiast zadanie łatwe, ponieważ często osobom tym brakuje odpowiedniej wiedzy na temat odżywiania, aktywności fizycznej czy zaburzeń odżywiania, a przez to udzielana pomoc bywa nieprofesjonalna, a nawet może pogłębiać problemy.. Np. motywowanie do unikania kalorycznego jedzenie powinno być prowadzone w sposób profesjonalny, a komunikaty na temat jedzenia nie powinny wywoływać nadmiernego lęku przed jedzeniem i tendencji do restrykcji, co wymaga posiadania odpowiednich umiejętności. Ponadto obok działań zwiększających świadomość na temat odżywiania powinny pojawić się działania umożliwiające wdrożenie poznanych zasad żywieniowych w życie (</w:t>
            </w:r>
            <w:proofErr w:type="spellStart"/>
            <w:r w:rsidRPr="00643E6A">
              <w:rPr>
                <w:rFonts w:ascii="Cambria" w:eastAsia="Cambria" w:hAnsi="Cambria" w:cs="Cambria"/>
                <w:color w:val="000000"/>
                <w:sz w:val="20"/>
                <w:szCs w:val="20"/>
              </w:rPr>
              <w:t>Prohaska</w:t>
            </w:r>
            <w:proofErr w:type="spellEnd"/>
            <w:r w:rsidRPr="00643E6A">
              <w:rPr>
                <w:rFonts w:ascii="Cambria" w:eastAsia="Cambria" w:hAnsi="Cambria" w:cs="Cambria"/>
                <w:color w:val="000000"/>
                <w:sz w:val="20"/>
                <w:szCs w:val="20"/>
              </w:rPr>
              <w:t xml:space="preserve"> i </w:t>
            </w:r>
            <w:proofErr w:type="spellStart"/>
            <w:r w:rsidRPr="00643E6A">
              <w:rPr>
                <w:rFonts w:ascii="Cambria" w:eastAsia="Cambria" w:hAnsi="Cambria" w:cs="Cambria"/>
                <w:color w:val="000000"/>
                <w:sz w:val="20"/>
                <w:szCs w:val="20"/>
              </w:rPr>
              <w:t>DiClemente</w:t>
            </w:r>
            <w:proofErr w:type="spellEnd"/>
            <w:r w:rsidRPr="00643E6A">
              <w:rPr>
                <w:rFonts w:ascii="Cambria" w:eastAsia="Cambria" w:hAnsi="Cambria" w:cs="Cambria"/>
                <w:color w:val="000000"/>
                <w:sz w:val="20"/>
                <w:szCs w:val="20"/>
              </w:rPr>
              <w:t>, 2008).</w:t>
            </w:r>
          </w:p>
          <w:p w14:paraId="62ABAFA8"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6F7EA7BB"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Działania profilaktyczne i pomocowe ukierunkowane na problem nienormatywnej masy ciała i zaburzeń odżywiania</w:t>
            </w:r>
          </w:p>
          <w:p w14:paraId="68F599C2"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311885D0"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Dostępne dane wskazują, że działania ukierunkowane na zmianę stylu życia, redukcję problemu nadmiernej masy ciała oraz zaburzeń odżywiania powinny  bazować na podejściu interdyscyplinarnym łączącym pomoc na polu medycyny, aktywności fizycznej  i psychologii, jak również sugerują, że brakuje takiego podejścia w działaniach profilaktycznych i pomocowych realizowanych w Polsce. </w:t>
            </w:r>
          </w:p>
          <w:p w14:paraId="14D24A57"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627AB3E9"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lastRenderedPageBreak/>
              <w:t xml:space="preserve">Na przykład wytyczne </w:t>
            </w:r>
            <w:proofErr w:type="spellStart"/>
            <w:r w:rsidRPr="00643E6A">
              <w:rPr>
                <w:rFonts w:ascii="Cambria" w:eastAsia="Cambria" w:hAnsi="Cambria" w:cs="Cambria"/>
                <w:color w:val="000000"/>
                <w:sz w:val="20"/>
                <w:szCs w:val="20"/>
              </w:rPr>
              <w:t>National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Institute</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Health</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Care</w:t>
            </w:r>
            <w:proofErr w:type="spellEnd"/>
            <w:r w:rsidRPr="00643E6A">
              <w:rPr>
                <w:rFonts w:ascii="Cambria" w:eastAsia="Cambria" w:hAnsi="Cambria" w:cs="Cambria"/>
                <w:color w:val="000000"/>
                <w:sz w:val="20"/>
                <w:szCs w:val="20"/>
              </w:rPr>
              <w:t xml:space="preserve"> Excellence (NICE, 2014), jako instytucji szczegółowo opisującej standardy pomocy w problemach zdrowia somatycznego i psychicznego w oparciu o dowody naukowe, wskazują na konieczność stosowania psychologicznych technik zmiany zachowania w interwencjach ukierunkowanych na zmianę stylu życia (diety i aktywności fizycznej) osób dorosłych oraz dzieci i młodzieży. Przeprowadzona analiza programów profilaktyki otyłości realizowanych w Polsce wskazuje natomiast, że programy takie, skierowane do nieletnich, prowadzone są w większości przez nauczycieli i inny personel szkolny i w niewielkim stopniu wykorzystują takie techniki (Januszewicz i Łuszczyńska, 2011). Skupiają się one głównie na informowaniu o ryzyku zdrowotnym związanym z nadmierną masą ciała, edukacji żywieniowej, zwiększaniu świadomości konsumenckiej i zaprowadzaniu zmian środowiskowych ułatwiających prowadzenie zdrowego stylu życia (takich, jak np. dostarczanie owoców do szkół, budowanie obiektów sportowych), jednak brakuje w nich zastosowania większości technik zmiany zachowania opartych na kluczowych teoriach znanych w psychologii zdrowia, np. pomagających w budowaniu planu wdrożenia zaleceń otrzymanych od specjalisty w życie, wdrażania technik pozwalających na utrzymanie motywacji i samokontroli. Brak zastosowania tych technik może mieć natomiast związek z niższą skutecznością polskich oddziaływań profilaktycznych i pomocowych (Januszewicz i Łuszczyńska, 2009). </w:t>
            </w:r>
          </w:p>
          <w:p w14:paraId="1854D65A"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Podobnie, jeśli chodzi o popularne w Polsce indywidualne formy pomocy względem osób z nadmierną masą ciała, do jakich należy poradnictwo żywieniowe, to badania wyraźnie wskazują, że nie przynoszą one trwałych efektów (por. przegląd badań </w:t>
            </w:r>
            <w:proofErr w:type="spellStart"/>
            <w:r w:rsidRPr="00643E6A">
              <w:rPr>
                <w:rFonts w:ascii="Cambria" w:eastAsia="Cambria" w:hAnsi="Cambria" w:cs="Cambria"/>
                <w:color w:val="000000"/>
                <w:sz w:val="20"/>
                <w:szCs w:val="20"/>
              </w:rPr>
              <w:t>Dansinger</w:t>
            </w:r>
            <w:proofErr w:type="spellEnd"/>
            <w:r w:rsidRPr="00643E6A">
              <w:rPr>
                <w:rFonts w:ascii="Cambria" w:eastAsia="Cambria" w:hAnsi="Cambria" w:cs="Cambria"/>
                <w:color w:val="000000"/>
                <w:sz w:val="20"/>
                <w:szCs w:val="20"/>
              </w:rPr>
              <w:t xml:space="preserve"> i in., 2006), co również sugeruje konieczność wspierania ich przez osoby będące w codziennym kontakcie z osobą dotkniętą problemem, np. nauczycieli.</w:t>
            </w:r>
          </w:p>
          <w:p w14:paraId="3E08D761" w14:textId="77777777" w:rsidR="00643E6A" w:rsidRPr="00643E6A" w:rsidRDefault="00643E6A" w:rsidP="00643E6A">
            <w:pPr>
              <w:pBdr>
                <w:top w:val="nil"/>
                <w:left w:val="nil"/>
                <w:bottom w:val="nil"/>
                <w:right w:val="nil"/>
                <w:between w:val="nil"/>
              </w:pBdr>
              <w:spacing w:before="116" w:line="276" w:lineRule="auto"/>
              <w:ind w:right="215"/>
              <w:jc w:val="both"/>
              <w:rPr>
                <w:rFonts w:ascii="Cambria" w:eastAsia="Cambria" w:hAnsi="Cambria" w:cs="Cambria"/>
                <w:color w:val="000000"/>
                <w:sz w:val="20"/>
                <w:szCs w:val="20"/>
              </w:rPr>
            </w:pPr>
          </w:p>
          <w:p w14:paraId="743B826C"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National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Institute</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Health</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Care</w:t>
            </w:r>
            <w:proofErr w:type="spellEnd"/>
            <w:r w:rsidRPr="00643E6A">
              <w:rPr>
                <w:rFonts w:ascii="Cambria" w:eastAsia="Cambria" w:hAnsi="Cambria" w:cs="Cambria"/>
                <w:color w:val="000000"/>
                <w:sz w:val="20"/>
                <w:szCs w:val="20"/>
              </w:rPr>
              <w:t xml:space="preserve"> Excellence podkreśla względem osób z zaburzeniami odżywiania także rolę wczesnych interwencji, w podejmowanych przez osoby niezajmujące się specjalistycznym leczeniem tych zaburzeń, ale odpowiednio przygotowane do prowadzenia takich interwencji (np. przez lekarzy pierwszego kontaktu, którzy przeszli odpowiednie szkolenie). Interwencje te według NICE powinny opierać się o programy samopomocy i działania edukacyjne oraz rozmowy na temat dostępnych opcji specjalistycznego leczenia. Takie wczesne interwencje powinny poprzedzać specjalistyczne leczenie, a czasem minimalizować jego konieczność (NICE, 2018). W Polsce obecnie brakuje osób, które potrafiłyby udzielać takiej wstępnej pomocy osobom z zaburzeniami odżywiania. Zdobycie kwalifikacji „Wdrażanie działań profilaktycznych i pomocowych ukierunkowanych na problem nienormatywnej masy ciała i zaburzeń odżywiania” przez lekarzy pierwszego kontaktu, lekarzy POZ, nauczycieli, pedagogów, psychologów szkolnych, pielęgniarki szkolne i inne osoby pracujące w miejscach umożliwiających działania pomocowe względem osób z zaburzeniami odżywiania uzupełni tę lukę.</w:t>
            </w:r>
          </w:p>
          <w:p w14:paraId="2A074F70"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Proponowana kwalifikacja zalicza się do kwalifikacji innowacyjnych, wcześniej nieobecnych na rynku. Biorąc pod uwagę rozpowszechnienie problemów związanych z nienormatywną masą ciała i zaburzeń odżywiania oraz wyżej opisane potrzeby zwiększenia interdyscyplinarności i dostępności działań w rozwiązywaniu i zapobieganiu tym problemom, wprowadzenie wnioskowanej kwalifikacji do ZSK wydaje się ważnym krokiem realizującym ten cel.</w:t>
            </w:r>
          </w:p>
          <w:p w14:paraId="757F4C3C" w14:textId="7777777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
          <w:p w14:paraId="21911494" w14:textId="18A4A3C9"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Bibliografia:</w:t>
            </w:r>
          </w:p>
          <w:p w14:paraId="0BB6F4F1" w14:textId="09C9AAA8"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Centrum Badań Opinii Społecznej (2014). Czy Polacy jedzą za dużo? Warszawa: Komunikat z badań CBOS.</w:t>
            </w:r>
          </w:p>
          <w:p w14:paraId="0D17AE05" w14:textId="406BFCAF"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Cole, T. M., </w:t>
            </w:r>
            <w:proofErr w:type="spellStart"/>
            <w:r w:rsidRPr="00643E6A">
              <w:rPr>
                <w:rFonts w:ascii="Cambria" w:eastAsia="Cambria" w:hAnsi="Cambria" w:cs="Cambria"/>
                <w:color w:val="000000"/>
                <w:sz w:val="20"/>
                <w:szCs w:val="20"/>
              </w:rPr>
              <w:t>Bellizzi</w:t>
            </w:r>
            <w:proofErr w:type="spellEnd"/>
            <w:r w:rsidRPr="00643E6A">
              <w:rPr>
                <w:rFonts w:ascii="Cambria" w:eastAsia="Cambria" w:hAnsi="Cambria" w:cs="Cambria"/>
                <w:color w:val="000000"/>
                <w:sz w:val="20"/>
                <w:szCs w:val="20"/>
              </w:rPr>
              <w:t xml:space="preserve">, M. C., </w:t>
            </w:r>
            <w:proofErr w:type="spellStart"/>
            <w:r w:rsidRPr="00643E6A">
              <w:rPr>
                <w:rFonts w:ascii="Cambria" w:eastAsia="Cambria" w:hAnsi="Cambria" w:cs="Cambria"/>
                <w:color w:val="000000"/>
                <w:sz w:val="20"/>
                <w:szCs w:val="20"/>
              </w:rPr>
              <w:t>Flegal</w:t>
            </w:r>
            <w:proofErr w:type="spellEnd"/>
            <w:r w:rsidRPr="00643E6A">
              <w:rPr>
                <w:rFonts w:ascii="Cambria" w:eastAsia="Cambria" w:hAnsi="Cambria" w:cs="Cambria"/>
                <w:color w:val="000000"/>
                <w:sz w:val="20"/>
                <w:szCs w:val="20"/>
              </w:rPr>
              <w:t xml:space="preserve">, M. F. i </w:t>
            </w:r>
            <w:proofErr w:type="spellStart"/>
            <w:r w:rsidRPr="00643E6A">
              <w:rPr>
                <w:rFonts w:ascii="Cambria" w:eastAsia="Cambria" w:hAnsi="Cambria" w:cs="Cambria"/>
                <w:color w:val="000000"/>
                <w:sz w:val="20"/>
                <w:szCs w:val="20"/>
              </w:rPr>
              <w:t>Dietz</w:t>
            </w:r>
            <w:proofErr w:type="spellEnd"/>
            <w:r w:rsidRPr="00643E6A">
              <w:rPr>
                <w:rFonts w:ascii="Cambria" w:eastAsia="Cambria" w:hAnsi="Cambria" w:cs="Cambria"/>
                <w:color w:val="000000"/>
                <w:sz w:val="20"/>
                <w:szCs w:val="20"/>
              </w:rPr>
              <w:t xml:space="preserve">, W. H. (2000). </w:t>
            </w:r>
            <w:proofErr w:type="spellStart"/>
            <w:r w:rsidRPr="00643E6A">
              <w:rPr>
                <w:rFonts w:ascii="Cambria" w:eastAsia="Cambria" w:hAnsi="Cambria" w:cs="Cambria"/>
                <w:color w:val="000000"/>
                <w:sz w:val="20"/>
                <w:szCs w:val="20"/>
              </w:rPr>
              <w:t>Establishing</w:t>
            </w:r>
            <w:proofErr w:type="spellEnd"/>
            <w:r w:rsidRPr="00643E6A">
              <w:rPr>
                <w:rFonts w:ascii="Cambria" w:eastAsia="Cambria" w:hAnsi="Cambria" w:cs="Cambria"/>
                <w:color w:val="000000"/>
                <w:sz w:val="20"/>
                <w:szCs w:val="20"/>
              </w:rPr>
              <w:t xml:space="preserve"> a standard </w:t>
            </w:r>
            <w:proofErr w:type="spellStart"/>
            <w:r w:rsidRPr="00643E6A">
              <w:rPr>
                <w:rFonts w:ascii="Cambria" w:eastAsia="Cambria" w:hAnsi="Cambria" w:cs="Cambria"/>
                <w:color w:val="000000"/>
                <w:sz w:val="20"/>
                <w:szCs w:val="20"/>
              </w:rPr>
              <w:t>definition</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child</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overweight</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obesity</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worldwide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international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survey</w:t>
            </w:r>
            <w:proofErr w:type="spellEnd"/>
            <w:r w:rsidRPr="00643E6A">
              <w:rPr>
                <w:rFonts w:ascii="Cambria" w:eastAsia="Cambria" w:hAnsi="Cambria" w:cs="Cambria"/>
                <w:color w:val="000000"/>
                <w:sz w:val="20"/>
                <w:szCs w:val="20"/>
              </w:rPr>
              <w:t xml:space="preserve">. British </w:t>
            </w:r>
            <w:proofErr w:type="spellStart"/>
            <w:r w:rsidRPr="00643E6A">
              <w:rPr>
                <w:rFonts w:ascii="Cambria" w:eastAsia="Cambria" w:hAnsi="Cambria" w:cs="Cambria"/>
                <w:color w:val="000000"/>
                <w:sz w:val="20"/>
                <w:szCs w:val="20"/>
              </w:rPr>
              <w:t>Medical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Journal</w:t>
            </w:r>
            <w:proofErr w:type="spellEnd"/>
            <w:r w:rsidRPr="00643E6A">
              <w:rPr>
                <w:rFonts w:ascii="Cambria" w:eastAsia="Cambria" w:hAnsi="Cambria" w:cs="Cambria"/>
                <w:color w:val="000000"/>
                <w:sz w:val="20"/>
                <w:szCs w:val="20"/>
              </w:rPr>
              <w:t>, 320, 1-6.</w:t>
            </w:r>
          </w:p>
          <w:p w14:paraId="0162A7B5" w14:textId="20679280"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Culbert</w:t>
            </w:r>
            <w:proofErr w:type="spellEnd"/>
            <w:r w:rsidRPr="00643E6A">
              <w:rPr>
                <w:rFonts w:ascii="Cambria" w:eastAsia="Cambria" w:hAnsi="Cambria" w:cs="Cambria"/>
                <w:color w:val="000000"/>
                <w:sz w:val="20"/>
                <w:szCs w:val="20"/>
              </w:rPr>
              <w:t xml:space="preserve">, K. M., Racine, S. E., </w:t>
            </w:r>
            <w:proofErr w:type="spellStart"/>
            <w:r w:rsidRPr="00643E6A">
              <w:rPr>
                <w:rFonts w:ascii="Cambria" w:eastAsia="Cambria" w:hAnsi="Cambria" w:cs="Cambria"/>
                <w:color w:val="000000"/>
                <w:sz w:val="20"/>
                <w:szCs w:val="20"/>
              </w:rPr>
              <w:t>Klump</w:t>
            </w:r>
            <w:proofErr w:type="spellEnd"/>
            <w:r w:rsidRPr="00643E6A">
              <w:rPr>
                <w:rFonts w:ascii="Cambria" w:eastAsia="Cambria" w:hAnsi="Cambria" w:cs="Cambria"/>
                <w:color w:val="000000"/>
                <w:sz w:val="20"/>
                <w:szCs w:val="20"/>
              </w:rPr>
              <w:t xml:space="preserve">, K. E. (2015). </w:t>
            </w:r>
            <w:proofErr w:type="spellStart"/>
            <w:r w:rsidRPr="00643E6A">
              <w:rPr>
                <w:rFonts w:ascii="Cambria" w:eastAsia="Cambria" w:hAnsi="Cambria" w:cs="Cambria"/>
                <w:color w:val="000000"/>
                <w:sz w:val="20"/>
                <w:szCs w:val="20"/>
              </w:rPr>
              <w:t>Research</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Review</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What</w:t>
            </w:r>
            <w:proofErr w:type="spellEnd"/>
            <w:r w:rsidRPr="00643E6A">
              <w:rPr>
                <w:rFonts w:ascii="Cambria" w:eastAsia="Cambria" w:hAnsi="Cambria" w:cs="Cambria"/>
                <w:color w:val="000000"/>
                <w:sz w:val="20"/>
                <w:szCs w:val="20"/>
              </w:rPr>
              <w:t xml:space="preserve"> we </w:t>
            </w:r>
            <w:proofErr w:type="spellStart"/>
            <w:r w:rsidRPr="00643E6A">
              <w:rPr>
                <w:rFonts w:ascii="Cambria" w:eastAsia="Cambria" w:hAnsi="Cambria" w:cs="Cambria"/>
                <w:color w:val="000000"/>
                <w:sz w:val="20"/>
                <w:szCs w:val="20"/>
              </w:rPr>
              <w:t>have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learned</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about</w:t>
            </w:r>
            <w:proofErr w:type="spellEnd"/>
            <w:r w:rsidRPr="00643E6A">
              <w:rPr>
                <w:rFonts w:ascii="Cambria" w:eastAsia="Cambria" w:hAnsi="Cambria" w:cs="Cambria"/>
                <w:color w:val="000000"/>
                <w:sz w:val="20"/>
                <w:szCs w:val="20"/>
              </w:rPr>
              <w:t xml:space="preserve"> the </w:t>
            </w:r>
            <w:proofErr w:type="spellStart"/>
            <w:r w:rsidRPr="00643E6A">
              <w:rPr>
                <w:rFonts w:ascii="Cambria" w:eastAsia="Cambria" w:hAnsi="Cambria" w:cs="Cambria"/>
                <w:color w:val="000000"/>
                <w:sz w:val="20"/>
                <w:szCs w:val="20"/>
              </w:rPr>
              <w:t>causes</w:t>
            </w:r>
            <w:proofErr w:type="spellEnd"/>
            <w:r w:rsidRPr="00643E6A">
              <w:rPr>
                <w:rFonts w:ascii="Cambria" w:eastAsia="Cambria" w:hAnsi="Cambria" w:cs="Cambria"/>
                <w:color w:val="000000"/>
                <w:sz w:val="20"/>
                <w:szCs w:val="20"/>
              </w:rPr>
              <w:t xml:space="preserve"> of </w:t>
            </w:r>
            <w:proofErr w:type="spellStart"/>
            <w:r w:rsidRPr="00643E6A">
              <w:rPr>
                <w:rFonts w:ascii="Cambria" w:eastAsia="Cambria" w:hAnsi="Cambria" w:cs="Cambria"/>
                <w:color w:val="000000"/>
                <w:sz w:val="20"/>
                <w:szCs w:val="20"/>
              </w:rPr>
              <w:t>eating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disorders</w:t>
            </w:r>
            <w:proofErr w:type="spellEnd"/>
            <w:r w:rsidRPr="00643E6A">
              <w:rPr>
                <w:rFonts w:ascii="Cambria" w:eastAsia="Cambria" w:hAnsi="Cambria" w:cs="Cambria"/>
                <w:color w:val="000000"/>
                <w:sz w:val="20"/>
                <w:szCs w:val="20"/>
              </w:rPr>
              <w:t xml:space="preserve"> – a </w:t>
            </w:r>
            <w:proofErr w:type="spellStart"/>
            <w:r w:rsidRPr="00643E6A">
              <w:rPr>
                <w:rFonts w:ascii="Cambria" w:eastAsia="Cambria" w:hAnsi="Cambria" w:cs="Cambria"/>
                <w:color w:val="000000"/>
                <w:sz w:val="20"/>
                <w:szCs w:val="20"/>
              </w:rPr>
              <w:t>synthesis</w:t>
            </w:r>
            <w:proofErr w:type="spellEnd"/>
            <w:r w:rsidRPr="00643E6A">
              <w:rPr>
                <w:rFonts w:ascii="Cambria" w:eastAsia="Cambria" w:hAnsi="Cambria" w:cs="Cambria"/>
                <w:color w:val="000000"/>
                <w:sz w:val="20"/>
                <w:szCs w:val="20"/>
              </w:rPr>
              <w:t xml:space="preserve"> of </w:t>
            </w:r>
            <w:proofErr w:type="spellStart"/>
            <w:r w:rsidRPr="00643E6A">
              <w:rPr>
                <w:rFonts w:ascii="Cambria" w:eastAsia="Cambria" w:hAnsi="Cambria" w:cs="Cambria"/>
                <w:color w:val="000000"/>
                <w:sz w:val="20"/>
                <w:szCs w:val="20"/>
              </w:rPr>
              <w:t>sociocultural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psychological</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biological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research</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Journal</w:t>
            </w:r>
            <w:proofErr w:type="spellEnd"/>
            <w:r w:rsidRPr="00643E6A">
              <w:rPr>
                <w:rFonts w:ascii="Cambria" w:eastAsia="Cambria" w:hAnsi="Cambria" w:cs="Cambria"/>
                <w:color w:val="000000"/>
                <w:sz w:val="20"/>
                <w:szCs w:val="20"/>
              </w:rPr>
              <w:t xml:space="preserve"> of Child </w:t>
            </w:r>
            <w:proofErr w:type="spellStart"/>
            <w:r w:rsidRPr="00643E6A">
              <w:rPr>
                <w:rFonts w:ascii="Cambria" w:eastAsia="Cambria" w:hAnsi="Cambria" w:cs="Cambria"/>
                <w:color w:val="000000"/>
                <w:sz w:val="20"/>
                <w:szCs w:val="20"/>
              </w:rPr>
              <w:t>Psychology</w:t>
            </w:r>
            <w:proofErr w:type="spellEnd"/>
            <w:r w:rsidRPr="00643E6A">
              <w:rPr>
                <w:rFonts w:ascii="Cambria" w:eastAsia="Cambria" w:hAnsi="Cambria" w:cs="Cambria"/>
                <w:color w:val="000000"/>
                <w:sz w:val="20"/>
                <w:szCs w:val="20"/>
              </w:rPr>
              <w:t xml:space="preserve"> and Psychiatry, 56 (11), 1141–1164</w:t>
            </w:r>
          </w:p>
          <w:p w14:paraId="690F330A" w14:textId="4F4836B5"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Dansinger</w:t>
            </w:r>
            <w:proofErr w:type="spellEnd"/>
            <w:r w:rsidRPr="00643E6A">
              <w:rPr>
                <w:rFonts w:ascii="Cambria" w:eastAsia="Cambria" w:hAnsi="Cambria" w:cs="Cambria"/>
                <w:color w:val="000000"/>
                <w:sz w:val="20"/>
                <w:szCs w:val="20"/>
              </w:rPr>
              <w:t xml:space="preserve">, M. L, </w:t>
            </w:r>
            <w:proofErr w:type="spellStart"/>
            <w:r w:rsidRPr="00643E6A">
              <w:rPr>
                <w:rFonts w:ascii="Cambria" w:eastAsia="Cambria" w:hAnsi="Cambria" w:cs="Cambria"/>
                <w:color w:val="000000"/>
                <w:sz w:val="20"/>
                <w:szCs w:val="20"/>
              </w:rPr>
              <w:t>Tatsioni</w:t>
            </w:r>
            <w:proofErr w:type="spellEnd"/>
            <w:r w:rsidRPr="00643E6A">
              <w:rPr>
                <w:rFonts w:ascii="Cambria" w:eastAsia="Cambria" w:hAnsi="Cambria" w:cs="Cambria"/>
                <w:color w:val="000000"/>
                <w:sz w:val="20"/>
                <w:szCs w:val="20"/>
              </w:rPr>
              <w:t xml:space="preserve">, A., Wong, J. B., </w:t>
            </w:r>
            <w:proofErr w:type="spellStart"/>
            <w:r w:rsidRPr="00643E6A">
              <w:rPr>
                <w:rFonts w:ascii="Cambria" w:eastAsia="Cambria" w:hAnsi="Cambria" w:cs="Cambria"/>
                <w:color w:val="000000"/>
                <w:sz w:val="20"/>
                <w:szCs w:val="20"/>
              </w:rPr>
              <w:t>Chung</w:t>
            </w:r>
            <w:proofErr w:type="spellEnd"/>
            <w:r w:rsidRPr="00643E6A">
              <w:rPr>
                <w:rFonts w:ascii="Cambria" w:eastAsia="Cambria" w:hAnsi="Cambria" w:cs="Cambria"/>
                <w:color w:val="000000"/>
                <w:sz w:val="20"/>
                <w:szCs w:val="20"/>
              </w:rPr>
              <w:t xml:space="preserve">, M. i  </w:t>
            </w:r>
            <w:proofErr w:type="spellStart"/>
            <w:r w:rsidRPr="00643E6A">
              <w:rPr>
                <w:rFonts w:ascii="Cambria" w:eastAsia="Cambria" w:hAnsi="Cambria" w:cs="Cambria"/>
                <w:color w:val="000000"/>
                <w:sz w:val="20"/>
                <w:szCs w:val="20"/>
              </w:rPr>
              <w:t>Balk</w:t>
            </w:r>
            <w:proofErr w:type="spellEnd"/>
            <w:r w:rsidRPr="00643E6A">
              <w:rPr>
                <w:rFonts w:ascii="Cambria" w:eastAsia="Cambria" w:hAnsi="Cambria" w:cs="Cambria"/>
                <w:color w:val="000000"/>
                <w:sz w:val="20"/>
                <w:szCs w:val="20"/>
              </w:rPr>
              <w:t>, E. M. (2007). Meta-</w:t>
            </w:r>
            <w:proofErr w:type="spellStart"/>
            <w:r w:rsidRPr="00643E6A">
              <w:rPr>
                <w:rFonts w:ascii="Cambria" w:eastAsia="Cambria" w:hAnsi="Cambria" w:cs="Cambria"/>
                <w:color w:val="000000"/>
                <w:sz w:val="20"/>
                <w:szCs w:val="20"/>
              </w:rPr>
              <w:t>analysis</w:t>
            </w:r>
            <w:proofErr w:type="spellEnd"/>
            <w:r w:rsidRPr="00643E6A">
              <w:rPr>
                <w:rFonts w:ascii="Cambria" w:eastAsia="Cambria" w:hAnsi="Cambria" w:cs="Cambria"/>
                <w:color w:val="000000"/>
                <w:sz w:val="20"/>
                <w:szCs w:val="20"/>
              </w:rPr>
              <w:t xml:space="preserve">: The </w:t>
            </w:r>
            <w:proofErr w:type="spellStart"/>
            <w:r w:rsidRPr="00643E6A">
              <w:rPr>
                <w:rFonts w:ascii="Cambria" w:eastAsia="Cambria" w:hAnsi="Cambria" w:cs="Cambria"/>
                <w:color w:val="000000"/>
                <w:sz w:val="20"/>
                <w:szCs w:val="20"/>
              </w:rPr>
              <w:t>Effect</w:t>
            </w:r>
            <w:proofErr w:type="spellEnd"/>
            <w:r w:rsidRPr="00643E6A">
              <w:rPr>
                <w:rFonts w:ascii="Cambria" w:eastAsia="Cambria" w:hAnsi="Cambria" w:cs="Cambria"/>
                <w:color w:val="000000"/>
                <w:sz w:val="20"/>
                <w:szCs w:val="20"/>
              </w:rPr>
              <w:t xml:space="preserve"> of </w:t>
            </w:r>
            <w:proofErr w:type="spellStart"/>
            <w:r w:rsidRPr="00643E6A">
              <w:rPr>
                <w:rFonts w:ascii="Cambria" w:eastAsia="Cambria" w:hAnsi="Cambria" w:cs="Cambria"/>
                <w:color w:val="000000"/>
                <w:sz w:val="20"/>
                <w:szCs w:val="20"/>
              </w:rPr>
              <w:t>Dietary</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Counseling</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Weight</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Loss</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Annals</w:t>
            </w:r>
            <w:proofErr w:type="spellEnd"/>
            <w:r w:rsidRPr="00643E6A">
              <w:rPr>
                <w:rFonts w:ascii="Cambria" w:eastAsia="Cambria" w:hAnsi="Cambria" w:cs="Cambria"/>
                <w:color w:val="000000"/>
                <w:sz w:val="20"/>
                <w:szCs w:val="20"/>
              </w:rPr>
              <w:t xml:space="preserve"> of </w:t>
            </w:r>
            <w:proofErr w:type="spellStart"/>
            <w:r w:rsidRPr="00643E6A">
              <w:rPr>
                <w:rFonts w:ascii="Cambria" w:eastAsia="Cambria" w:hAnsi="Cambria" w:cs="Cambria"/>
                <w:color w:val="000000"/>
                <w:sz w:val="20"/>
                <w:szCs w:val="20"/>
              </w:rPr>
              <w:t>Internal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Medicine</w:t>
            </w:r>
            <w:proofErr w:type="spellEnd"/>
            <w:r w:rsidRPr="00643E6A">
              <w:rPr>
                <w:rFonts w:ascii="Cambria" w:eastAsia="Cambria" w:hAnsi="Cambria" w:cs="Cambria"/>
                <w:color w:val="000000"/>
                <w:sz w:val="20"/>
                <w:szCs w:val="20"/>
              </w:rPr>
              <w:t>, 147, 41 - 50.</w:t>
            </w:r>
          </w:p>
          <w:p w14:paraId="58BE92F7" w14:textId="76D11CBB"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Dzielska</w:t>
            </w:r>
            <w:proofErr w:type="spellEnd"/>
            <w:r w:rsidRPr="00643E6A">
              <w:rPr>
                <w:rFonts w:ascii="Cambria" w:eastAsia="Cambria" w:hAnsi="Cambria" w:cs="Cambria"/>
                <w:color w:val="000000"/>
                <w:sz w:val="20"/>
                <w:szCs w:val="20"/>
              </w:rPr>
              <w:t xml:space="preserve">, A., (2015). Spożywanie wybranych produktów (s.144 – 155). W: J. Mazur (red.), Zdrowie i </w:t>
            </w:r>
            <w:r w:rsidRPr="00643E6A">
              <w:rPr>
                <w:rFonts w:ascii="Cambria" w:eastAsia="Cambria" w:hAnsi="Cambria" w:cs="Cambria"/>
                <w:color w:val="000000"/>
                <w:sz w:val="20"/>
                <w:szCs w:val="20"/>
              </w:rPr>
              <w:lastRenderedPageBreak/>
              <w:t xml:space="preserve">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3210CB59" w14:textId="24B2B4DC"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Januszewicz, A., </w:t>
            </w:r>
            <w:proofErr w:type="spellStart"/>
            <w:r w:rsidRPr="00643E6A">
              <w:rPr>
                <w:rFonts w:ascii="Cambria" w:eastAsia="Cambria" w:hAnsi="Cambria" w:cs="Cambria"/>
                <w:color w:val="000000"/>
                <w:sz w:val="20"/>
                <w:szCs w:val="20"/>
              </w:rPr>
              <w:t>Luszczynska</w:t>
            </w:r>
            <w:proofErr w:type="spellEnd"/>
            <w:r w:rsidRPr="00643E6A">
              <w:rPr>
                <w:rFonts w:ascii="Cambria" w:eastAsia="Cambria" w:hAnsi="Cambria" w:cs="Cambria"/>
                <w:color w:val="000000"/>
                <w:sz w:val="20"/>
                <w:szCs w:val="20"/>
              </w:rPr>
              <w:t xml:space="preserve">, A. (2011). Czy teoria jest stosowana w praktyce? Aplikacje modeli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zdrowotnych w programach prewencji otyłości wśród dzieci i młodzieży realizowanych w Polsce w latach 2005-2009. Przegląd Psychologiczny, 54; 13-26.</w:t>
            </w:r>
          </w:p>
          <w:p w14:paraId="7F3E4E3E" w14:textId="7D2C39CF"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Jodkowska</w:t>
            </w:r>
            <w:proofErr w:type="spellEnd"/>
            <w:r w:rsidRPr="00643E6A">
              <w:rPr>
                <w:rFonts w:ascii="Cambria" w:eastAsia="Cambria" w:hAnsi="Cambria" w:cs="Cambria"/>
                <w:color w:val="000000"/>
                <w:sz w:val="20"/>
                <w:szCs w:val="20"/>
              </w:rPr>
              <w:t xml:space="preserve">, M., (2015). Stosowanie diet odchudzających (s. 163 – 168).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586EABF5" w14:textId="6175BEF9"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Jodkowska</w:t>
            </w:r>
            <w:proofErr w:type="spellEnd"/>
            <w:r w:rsidRPr="00643E6A">
              <w:rPr>
                <w:rFonts w:ascii="Cambria" w:eastAsia="Cambria" w:hAnsi="Cambria" w:cs="Cambria"/>
                <w:color w:val="000000"/>
                <w:sz w:val="20"/>
                <w:szCs w:val="20"/>
              </w:rPr>
              <w:t xml:space="preserve">, M., (2015). Spożywanie śniadań (s. 138 - 143).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11698F5B" w14:textId="43BDBFD9"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Mazur, J., (2015). Samoocena zdrowia (s. 79 - 84).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2B1859D8" w14:textId="6AFE959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Nałęcz, H. (2015). Aktywność fizyczna (s.119 -125).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654A5CA8" w14:textId="1EEFA7A1"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Nałęcz, H. (2015). Spędzanie czasu w bezruchu przed ekranem (s. 126 – 137).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31F39B5C" w14:textId="00B4460A"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National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Institute</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Health</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Care</w:t>
            </w:r>
            <w:proofErr w:type="spellEnd"/>
            <w:r w:rsidRPr="00643E6A">
              <w:rPr>
                <w:rFonts w:ascii="Cambria" w:eastAsia="Cambria" w:hAnsi="Cambria" w:cs="Cambria"/>
                <w:color w:val="000000"/>
                <w:sz w:val="20"/>
                <w:szCs w:val="20"/>
              </w:rPr>
              <w:t xml:space="preserve"> Excellence (2014). </w:t>
            </w:r>
            <w:proofErr w:type="spellStart"/>
            <w:r w:rsidRPr="00643E6A">
              <w:rPr>
                <w:rFonts w:ascii="Cambria" w:eastAsia="Cambria" w:hAnsi="Cambria" w:cs="Cambria"/>
                <w:color w:val="000000"/>
                <w:sz w:val="20"/>
                <w:szCs w:val="20"/>
              </w:rPr>
              <w:t>Clinical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guideline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Obesity</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identification</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assessment</w:t>
            </w:r>
            <w:proofErr w:type="spellEnd"/>
            <w:r w:rsidRPr="00643E6A">
              <w:rPr>
                <w:rFonts w:ascii="Cambria" w:eastAsia="Cambria" w:hAnsi="Cambria" w:cs="Cambria"/>
                <w:color w:val="000000"/>
                <w:sz w:val="20"/>
                <w:szCs w:val="20"/>
              </w:rPr>
              <w:t xml:space="preserve"> and management. Zaczerpnięte dnia 10.01.19 z: https://www.nice.org.uk/guidance/cg189/chapter/1-Recommendations#behavioural-interventions</w:t>
            </w:r>
          </w:p>
          <w:p w14:paraId="1EAF85C1" w14:textId="0BB02CD3"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National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Institute</w:t>
            </w:r>
            <w:proofErr w:type="spellEnd"/>
            <w:r w:rsidRPr="00643E6A">
              <w:rPr>
                <w:rFonts w:ascii="Cambria" w:eastAsia="Cambria" w:hAnsi="Cambria" w:cs="Cambria"/>
                <w:color w:val="000000"/>
                <w:sz w:val="20"/>
                <w:szCs w:val="20"/>
              </w:rPr>
              <w:t xml:space="preserve"> for </w:t>
            </w:r>
            <w:proofErr w:type="spellStart"/>
            <w:r w:rsidRPr="00643E6A">
              <w:rPr>
                <w:rFonts w:ascii="Cambria" w:eastAsia="Cambria" w:hAnsi="Cambria" w:cs="Cambria"/>
                <w:color w:val="000000"/>
                <w:sz w:val="20"/>
                <w:szCs w:val="20"/>
              </w:rPr>
              <w:t>Health</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Care</w:t>
            </w:r>
            <w:proofErr w:type="spellEnd"/>
            <w:r w:rsidRPr="00643E6A">
              <w:rPr>
                <w:rFonts w:ascii="Cambria" w:eastAsia="Cambria" w:hAnsi="Cambria" w:cs="Cambria"/>
                <w:color w:val="000000"/>
                <w:sz w:val="20"/>
                <w:szCs w:val="20"/>
              </w:rPr>
              <w:t xml:space="preserve"> Excellence (2017). </w:t>
            </w:r>
            <w:proofErr w:type="spellStart"/>
            <w:r w:rsidRPr="00643E6A">
              <w:rPr>
                <w:rFonts w:ascii="Cambria" w:eastAsia="Cambria" w:hAnsi="Cambria" w:cs="Cambria"/>
                <w:color w:val="000000"/>
                <w:sz w:val="20"/>
                <w:szCs w:val="20"/>
              </w:rPr>
              <w:t>Clinical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guideline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Eating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disorders</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recognition</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treatment</w:t>
            </w:r>
            <w:proofErr w:type="spellEnd"/>
            <w:r w:rsidRPr="00643E6A">
              <w:rPr>
                <w:rFonts w:ascii="Cambria" w:eastAsia="Cambria" w:hAnsi="Cambria" w:cs="Cambria"/>
                <w:color w:val="000000"/>
                <w:sz w:val="20"/>
                <w:szCs w:val="20"/>
              </w:rPr>
              <w:t>. Zaczerpnięte dnia 10.01.19 z: https://www.nice.org.uk/guidance/ng69</w:t>
            </w:r>
          </w:p>
          <w:p w14:paraId="134EEF51" w14:textId="77622847"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Oblacińska</w:t>
            </w:r>
            <w:proofErr w:type="spellEnd"/>
            <w:r w:rsidRPr="00643E6A">
              <w:rPr>
                <w:rFonts w:ascii="Cambria" w:eastAsia="Cambria" w:hAnsi="Cambria" w:cs="Cambria"/>
                <w:color w:val="000000"/>
                <w:sz w:val="20"/>
                <w:szCs w:val="20"/>
              </w:rPr>
              <w:t xml:space="preserve">, A., (2015). Nadwaga i otyłość (s. 106 - 111).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65FAF6D8" w14:textId="12558F2B"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Oblacińska</w:t>
            </w:r>
            <w:proofErr w:type="spellEnd"/>
            <w:r w:rsidRPr="00643E6A">
              <w:rPr>
                <w:rFonts w:ascii="Cambria" w:eastAsia="Cambria" w:hAnsi="Cambria" w:cs="Cambria"/>
                <w:color w:val="000000"/>
                <w:sz w:val="20"/>
                <w:szCs w:val="20"/>
              </w:rPr>
              <w:t xml:space="preserve">, A., (2015). Samoocena masy ciała (s. 112 - 118). W: J. Mazur (red.), Zdrowie i zachowania zdrowotne młodzieży szkolnej w Polsce na tle wybranych uwarunkowań </w:t>
            </w:r>
            <w:proofErr w:type="spellStart"/>
            <w:r w:rsidRPr="00643E6A">
              <w:rPr>
                <w:rFonts w:ascii="Cambria" w:eastAsia="Cambria" w:hAnsi="Cambria" w:cs="Cambria"/>
                <w:color w:val="000000"/>
                <w:sz w:val="20"/>
                <w:szCs w:val="20"/>
              </w:rPr>
              <w:t>socjodemograficznych</w:t>
            </w:r>
            <w:proofErr w:type="spellEnd"/>
            <w:r w:rsidRPr="00643E6A">
              <w:rPr>
                <w:rFonts w:ascii="Cambria" w:eastAsia="Cambria" w:hAnsi="Cambria" w:cs="Cambria"/>
                <w:color w:val="000000"/>
                <w:sz w:val="20"/>
                <w:szCs w:val="20"/>
              </w:rPr>
              <w:t>. Wyniki badań HBSC 2014. Instytut Matki i Dziecka, Warszawa 2015.</w:t>
            </w:r>
          </w:p>
          <w:p w14:paraId="161D13C0" w14:textId="58500ED3"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Prochaska, J. O., </w:t>
            </w:r>
            <w:proofErr w:type="spellStart"/>
            <w:r w:rsidRPr="00643E6A">
              <w:rPr>
                <w:rFonts w:ascii="Cambria" w:eastAsia="Cambria" w:hAnsi="Cambria" w:cs="Cambria"/>
                <w:color w:val="000000"/>
                <w:sz w:val="20"/>
                <w:szCs w:val="20"/>
              </w:rPr>
              <w:t>Norcross</w:t>
            </w:r>
            <w:proofErr w:type="spellEnd"/>
            <w:r w:rsidRPr="00643E6A">
              <w:rPr>
                <w:rFonts w:ascii="Cambria" w:eastAsia="Cambria" w:hAnsi="Cambria" w:cs="Cambria"/>
                <w:color w:val="000000"/>
                <w:sz w:val="20"/>
                <w:szCs w:val="20"/>
              </w:rPr>
              <w:t xml:space="preserve">, J. C. i </w:t>
            </w:r>
            <w:proofErr w:type="spellStart"/>
            <w:r w:rsidRPr="00643E6A">
              <w:rPr>
                <w:rFonts w:ascii="Cambria" w:eastAsia="Cambria" w:hAnsi="Cambria" w:cs="Cambria"/>
                <w:color w:val="000000"/>
                <w:sz w:val="20"/>
                <w:szCs w:val="20"/>
              </w:rPr>
              <w:t>DiClemente</w:t>
            </w:r>
            <w:proofErr w:type="spellEnd"/>
            <w:r w:rsidRPr="00643E6A">
              <w:rPr>
                <w:rFonts w:ascii="Cambria" w:eastAsia="Cambria" w:hAnsi="Cambria" w:cs="Cambria"/>
                <w:color w:val="000000"/>
                <w:sz w:val="20"/>
                <w:szCs w:val="20"/>
              </w:rPr>
              <w:t xml:space="preserve">, C. O. (2008). Zmiana na dobre. Rewolucyjny program zmiany, który pomoże Ci przezwyciężyć złe nawyki. Warszawa: Instytut </w:t>
            </w:r>
            <w:proofErr w:type="spellStart"/>
            <w:r w:rsidRPr="00643E6A">
              <w:rPr>
                <w:rFonts w:ascii="Cambria" w:eastAsia="Cambria" w:hAnsi="Cambria" w:cs="Cambria"/>
                <w:color w:val="000000"/>
                <w:sz w:val="20"/>
                <w:szCs w:val="20"/>
              </w:rPr>
              <w:t>Amity</w:t>
            </w:r>
            <w:proofErr w:type="spellEnd"/>
          </w:p>
          <w:p w14:paraId="24F40058" w14:textId="20E04F54"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Seligman</w:t>
            </w:r>
            <w:proofErr w:type="spellEnd"/>
            <w:r w:rsidRPr="00643E6A">
              <w:rPr>
                <w:rFonts w:ascii="Cambria" w:eastAsia="Cambria" w:hAnsi="Cambria" w:cs="Cambria"/>
                <w:color w:val="000000"/>
                <w:sz w:val="20"/>
                <w:szCs w:val="20"/>
              </w:rPr>
              <w:t>, M. E. P. (2010). Co możesz zmienić a czego nie możesz. Poznań: Media Rodzina</w:t>
            </w:r>
          </w:p>
          <w:p w14:paraId="31914BBD" w14:textId="2E1355D9" w:rsidR="00643E6A" w:rsidRPr="00643E6A" w:rsidRDefault="00643E6A" w:rsidP="00643E6A">
            <w:pPr>
              <w:pBdr>
                <w:top w:val="nil"/>
                <w:left w:val="nil"/>
                <w:bottom w:val="nil"/>
                <w:right w:val="nil"/>
                <w:between w:val="nil"/>
              </w:pBdr>
              <w:spacing w:before="116" w:line="276" w:lineRule="auto"/>
              <w:ind w:left="275" w:right="215" w:hanging="110"/>
              <w:jc w:val="both"/>
              <w:rPr>
                <w:rFonts w:ascii="Cambria" w:eastAsia="Cambria" w:hAnsi="Cambria" w:cs="Cambria"/>
                <w:color w:val="000000"/>
                <w:sz w:val="20"/>
                <w:szCs w:val="20"/>
              </w:rPr>
            </w:pPr>
            <w:proofErr w:type="spellStart"/>
            <w:r w:rsidRPr="00643E6A">
              <w:rPr>
                <w:rFonts w:ascii="Cambria" w:eastAsia="Cambria" w:hAnsi="Cambria" w:cs="Cambria"/>
                <w:color w:val="000000"/>
                <w:sz w:val="20"/>
                <w:szCs w:val="20"/>
              </w:rPr>
              <w:t>Villarejo</w:t>
            </w:r>
            <w:proofErr w:type="spellEnd"/>
            <w:r w:rsidRPr="00643E6A">
              <w:rPr>
                <w:rFonts w:ascii="Cambria" w:eastAsia="Cambria" w:hAnsi="Cambria" w:cs="Cambria"/>
                <w:color w:val="000000"/>
                <w:sz w:val="20"/>
                <w:szCs w:val="20"/>
              </w:rPr>
              <w:t xml:space="preserve">, C., </w:t>
            </w:r>
            <w:proofErr w:type="spellStart"/>
            <w:r w:rsidRPr="00643E6A">
              <w:rPr>
                <w:rFonts w:ascii="Cambria" w:eastAsia="Cambria" w:hAnsi="Cambria" w:cs="Cambria"/>
                <w:color w:val="000000"/>
                <w:sz w:val="20"/>
                <w:szCs w:val="20"/>
              </w:rPr>
              <w:t>Fernández-Aranda</w:t>
            </w:r>
            <w:proofErr w:type="spellEnd"/>
            <w:r w:rsidRPr="00643E6A">
              <w:rPr>
                <w:rFonts w:ascii="Cambria" w:eastAsia="Cambria" w:hAnsi="Cambria" w:cs="Cambria"/>
                <w:color w:val="000000"/>
                <w:sz w:val="20"/>
                <w:szCs w:val="20"/>
              </w:rPr>
              <w:t xml:space="preserve">, F., </w:t>
            </w:r>
            <w:proofErr w:type="spellStart"/>
            <w:r w:rsidRPr="00643E6A">
              <w:rPr>
                <w:rFonts w:ascii="Cambria" w:eastAsia="Cambria" w:hAnsi="Cambria" w:cs="Cambria"/>
                <w:color w:val="000000"/>
                <w:sz w:val="20"/>
                <w:szCs w:val="20"/>
              </w:rPr>
              <w:t>Jiménez-Murcia</w:t>
            </w:r>
            <w:proofErr w:type="spellEnd"/>
            <w:r w:rsidRPr="00643E6A">
              <w:rPr>
                <w:rFonts w:ascii="Cambria" w:eastAsia="Cambria" w:hAnsi="Cambria" w:cs="Cambria"/>
                <w:color w:val="000000"/>
                <w:sz w:val="20"/>
                <w:szCs w:val="20"/>
              </w:rPr>
              <w:t xml:space="preserve">, S., </w:t>
            </w:r>
            <w:proofErr w:type="spellStart"/>
            <w:r w:rsidRPr="00643E6A">
              <w:rPr>
                <w:rFonts w:ascii="Cambria" w:eastAsia="Cambria" w:hAnsi="Cambria" w:cs="Cambria"/>
                <w:color w:val="000000"/>
                <w:sz w:val="20"/>
                <w:szCs w:val="20"/>
              </w:rPr>
              <w:t>Peñas-Lledó</w:t>
            </w:r>
            <w:proofErr w:type="spellEnd"/>
            <w:r w:rsidRPr="00643E6A">
              <w:rPr>
                <w:rFonts w:ascii="Cambria" w:eastAsia="Cambria" w:hAnsi="Cambria" w:cs="Cambria"/>
                <w:color w:val="000000"/>
                <w:sz w:val="20"/>
                <w:szCs w:val="20"/>
              </w:rPr>
              <w:t xml:space="preserve">, E., </w:t>
            </w:r>
            <w:proofErr w:type="spellStart"/>
            <w:r w:rsidRPr="00643E6A">
              <w:rPr>
                <w:rFonts w:ascii="Cambria" w:eastAsia="Cambria" w:hAnsi="Cambria" w:cs="Cambria"/>
                <w:color w:val="000000"/>
                <w:sz w:val="20"/>
                <w:szCs w:val="20"/>
              </w:rPr>
              <w:t>Granero</w:t>
            </w:r>
            <w:proofErr w:type="spellEnd"/>
            <w:r w:rsidRPr="00643E6A">
              <w:rPr>
                <w:rFonts w:ascii="Cambria" w:eastAsia="Cambria" w:hAnsi="Cambria" w:cs="Cambria"/>
                <w:color w:val="000000"/>
                <w:sz w:val="20"/>
                <w:szCs w:val="20"/>
              </w:rPr>
              <w:t>, R., Pe-</w:t>
            </w:r>
            <w:proofErr w:type="spellStart"/>
            <w:r w:rsidRPr="00643E6A">
              <w:rPr>
                <w:rFonts w:ascii="Cambria" w:eastAsia="Cambria" w:hAnsi="Cambria" w:cs="Cambria"/>
                <w:color w:val="000000"/>
                <w:sz w:val="20"/>
                <w:szCs w:val="20"/>
              </w:rPr>
              <w:t>nelo</w:t>
            </w:r>
            <w:proofErr w:type="spellEnd"/>
            <w:r w:rsidRPr="00643E6A">
              <w:rPr>
                <w:rFonts w:ascii="Cambria" w:eastAsia="Cambria" w:hAnsi="Cambria" w:cs="Cambria"/>
                <w:color w:val="000000"/>
                <w:sz w:val="20"/>
                <w:szCs w:val="20"/>
              </w:rPr>
              <w:t xml:space="preserve">, E., </w:t>
            </w:r>
            <w:proofErr w:type="spellStart"/>
            <w:r w:rsidRPr="00643E6A">
              <w:rPr>
                <w:rFonts w:ascii="Cambria" w:eastAsia="Cambria" w:hAnsi="Cambria" w:cs="Cambria"/>
                <w:color w:val="000000"/>
                <w:sz w:val="20"/>
                <w:szCs w:val="20"/>
              </w:rPr>
              <w:t>Tinahones</w:t>
            </w:r>
            <w:proofErr w:type="spellEnd"/>
            <w:r w:rsidRPr="00643E6A">
              <w:rPr>
                <w:rFonts w:ascii="Cambria" w:eastAsia="Cambria" w:hAnsi="Cambria" w:cs="Cambria"/>
                <w:color w:val="000000"/>
                <w:sz w:val="20"/>
                <w:szCs w:val="20"/>
              </w:rPr>
              <w:t xml:space="preserve">, F.J., Sancho, C., </w:t>
            </w:r>
            <w:proofErr w:type="spellStart"/>
            <w:r w:rsidRPr="00643E6A">
              <w:rPr>
                <w:rFonts w:ascii="Cambria" w:eastAsia="Cambria" w:hAnsi="Cambria" w:cs="Cambria"/>
                <w:color w:val="000000"/>
                <w:sz w:val="20"/>
                <w:szCs w:val="20"/>
              </w:rPr>
              <w:t>Vilarrasa</w:t>
            </w:r>
            <w:proofErr w:type="spellEnd"/>
            <w:r w:rsidRPr="00643E6A">
              <w:rPr>
                <w:rFonts w:ascii="Cambria" w:eastAsia="Cambria" w:hAnsi="Cambria" w:cs="Cambria"/>
                <w:color w:val="000000"/>
                <w:sz w:val="20"/>
                <w:szCs w:val="20"/>
              </w:rPr>
              <w:t xml:space="preserve">, N., Montserrat-Gil de </w:t>
            </w:r>
            <w:proofErr w:type="spellStart"/>
            <w:r w:rsidRPr="00643E6A">
              <w:rPr>
                <w:rFonts w:ascii="Cambria" w:eastAsia="Cambria" w:hAnsi="Cambria" w:cs="Cambria"/>
                <w:color w:val="000000"/>
                <w:sz w:val="20"/>
                <w:szCs w:val="20"/>
              </w:rPr>
              <w:t>Bernabé</w:t>
            </w:r>
            <w:proofErr w:type="spellEnd"/>
            <w:r w:rsidRPr="00643E6A">
              <w:rPr>
                <w:rFonts w:ascii="Cambria" w:eastAsia="Cambria" w:hAnsi="Cambria" w:cs="Cambria"/>
                <w:color w:val="000000"/>
                <w:sz w:val="20"/>
                <w:szCs w:val="20"/>
              </w:rPr>
              <w:t xml:space="preserve">, M., </w:t>
            </w:r>
            <w:proofErr w:type="spellStart"/>
            <w:r w:rsidRPr="00643E6A">
              <w:rPr>
                <w:rFonts w:ascii="Cambria" w:eastAsia="Cambria" w:hAnsi="Cambria" w:cs="Cambria"/>
                <w:color w:val="000000"/>
                <w:sz w:val="20"/>
                <w:szCs w:val="20"/>
              </w:rPr>
              <w:t>Casanueva</w:t>
            </w:r>
            <w:proofErr w:type="spellEnd"/>
            <w:r w:rsidRPr="00643E6A">
              <w:rPr>
                <w:rFonts w:ascii="Cambria" w:eastAsia="Cambria" w:hAnsi="Cambria" w:cs="Cambria"/>
                <w:color w:val="000000"/>
                <w:sz w:val="20"/>
                <w:szCs w:val="20"/>
              </w:rPr>
              <w:t xml:space="preserve">, F.F., </w:t>
            </w:r>
            <w:proofErr w:type="spellStart"/>
            <w:r w:rsidRPr="00643E6A">
              <w:rPr>
                <w:rFonts w:ascii="Cambria" w:eastAsia="Cambria" w:hAnsi="Cambria" w:cs="Cambria"/>
                <w:color w:val="000000"/>
                <w:sz w:val="20"/>
                <w:szCs w:val="20"/>
              </w:rPr>
              <w:t>Fernández</w:t>
            </w:r>
            <w:proofErr w:type="spellEnd"/>
            <w:r w:rsidRPr="00643E6A">
              <w:rPr>
                <w:rFonts w:ascii="Cambria" w:eastAsia="Cambria" w:hAnsi="Cambria" w:cs="Cambria"/>
                <w:color w:val="000000"/>
                <w:sz w:val="20"/>
                <w:szCs w:val="20"/>
              </w:rPr>
              <w:t xml:space="preserve">-Real, J.M., </w:t>
            </w:r>
            <w:proofErr w:type="spellStart"/>
            <w:r w:rsidRPr="00643E6A">
              <w:rPr>
                <w:rFonts w:ascii="Cambria" w:eastAsia="Cambria" w:hAnsi="Cambria" w:cs="Cambria"/>
                <w:color w:val="000000"/>
                <w:sz w:val="20"/>
                <w:szCs w:val="20"/>
              </w:rPr>
              <w:t>Frühbeck</w:t>
            </w:r>
            <w:proofErr w:type="spellEnd"/>
            <w:r w:rsidRPr="00643E6A">
              <w:rPr>
                <w:rFonts w:ascii="Cambria" w:eastAsia="Cambria" w:hAnsi="Cambria" w:cs="Cambria"/>
                <w:color w:val="000000"/>
                <w:sz w:val="20"/>
                <w:szCs w:val="20"/>
              </w:rPr>
              <w:t xml:space="preserve">, G., De la </w:t>
            </w:r>
            <w:proofErr w:type="spellStart"/>
            <w:r w:rsidRPr="00643E6A">
              <w:rPr>
                <w:rFonts w:ascii="Cambria" w:eastAsia="Cambria" w:hAnsi="Cambria" w:cs="Cambria"/>
                <w:color w:val="000000"/>
                <w:sz w:val="20"/>
                <w:szCs w:val="20"/>
              </w:rPr>
              <w:t>Torre</w:t>
            </w:r>
            <w:proofErr w:type="spellEnd"/>
            <w:r w:rsidRPr="00643E6A">
              <w:rPr>
                <w:rFonts w:ascii="Cambria" w:eastAsia="Cambria" w:hAnsi="Cambria" w:cs="Cambria"/>
                <w:color w:val="000000"/>
                <w:sz w:val="20"/>
                <w:szCs w:val="20"/>
              </w:rPr>
              <w:t xml:space="preserve">, R., </w:t>
            </w:r>
            <w:proofErr w:type="spellStart"/>
            <w:r w:rsidRPr="00643E6A">
              <w:rPr>
                <w:rFonts w:ascii="Cambria" w:eastAsia="Cambria" w:hAnsi="Cambria" w:cs="Cambria"/>
                <w:color w:val="000000"/>
                <w:sz w:val="20"/>
                <w:szCs w:val="20"/>
              </w:rPr>
              <w:t>Treasure</w:t>
            </w:r>
            <w:proofErr w:type="spellEnd"/>
            <w:r w:rsidRPr="00643E6A">
              <w:rPr>
                <w:rFonts w:ascii="Cambria" w:eastAsia="Cambria" w:hAnsi="Cambria" w:cs="Cambria"/>
                <w:color w:val="000000"/>
                <w:sz w:val="20"/>
                <w:szCs w:val="20"/>
              </w:rPr>
              <w:t xml:space="preserve">, J., </w:t>
            </w:r>
            <w:proofErr w:type="spellStart"/>
            <w:r w:rsidRPr="00643E6A">
              <w:rPr>
                <w:rFonts w:ascii="Cambria" w:eastAsia="Cambria" w:hAnsi="Cambria" w:cs="Cambria"/>
                <w:color w:val="000000"/>
                <w:sz w:val="20"/>
                <w:szCs w:val="20"/>
              </w:rPr>
              <w:t>Botella</w:t>
            </w:r>
            <w:proofErr w:type="spellEnd"/>
            <w:r w:rsidRPr="00643E6A">
              <w:rPr>
                <w:rFonts w:ascii="Cambria" w:eastAsia="Cambria" w:hAnsi="Cambria" w:cs="Cambria"/>
                <w:color w:val="000000"/>
                <w:sz w:val="20"/>
                <w:szCs w:val="20"/>
              </w:rPr>
              <w:t xml:space="preserve">, C., </w:t>
            </w:r>
            <w:proofErr w:type="spellStart"/>
            <w:r w:rsidRPr="00643E6A">
              <w:rPr>
                <w:rFonts w:ascii="Cambria" w:eastAsia="Cambria" w:hAnsi="Cambria" w:cs="Cambria"/>
                <w:color w:val="000000"/>
                <w:sz w:val="20"/>
                <w:szCs w:val="20"/>
              </w:rPr>
              <w:t>Menchón</w:t>
            </w:r>
            <w:proofErr w:type="spellEnd"/>
            <w:r w:rsidRPr="00643E6A">
              <w:rPr>
                <w:rFonts w:ascii="Cambria" w:eastAsia="Cambria" w:hAnsi="Cambria" w:cs="Cambria"/>
                <w:color w:val="000000"/>
                <w:sz w:val="20"/>
                <w:szCs w:val="20"/>
              </w:rPr>
              <w:t xml:space="preserve">, J.M. (2012). </w:t>
            </w:r>
            <w:proofErr w:type="spellStart"/>
            <w:r w:rsidRPr="00643E6A">
              <w:rPr>
                <w:rFonts w:ascii="Cambria" w:eastAsia="Cambria" w:hAnsi="Cambria" w:cs="Cambria"/>
                <w:color w:val="000000"/>
                <w:sz w:val="20"/>
                <w:szCs w:val="20"/>
              </w:rPr>
              <w:t>Lifetime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obesity</w:t>
            </w:r>
            <w:proofErr w:type="spellEnd"/>
            <w:r w:rsidRPr="00643E6A">
              <w:rPr>
                <w:rFonts w:ascii="Cambria" w:eastAsia="Cambria" w:hAnsi="Cambria" w:cs="Cambria"/>
                <w:color w:val="000000"/>
                <w:sz w:val="20"/>
                <w:szCs w:val="20"/>
              </w:rPr>
              <w:t xml:space="preserve"> in </w:t>
            </w:r>
            <w:proofErr w:type="spellStart"/>
            <w:r w:rsidRPr="00643E6A">
              <w:rPr>
                <w:rFonts w:ascii="Cambria" w:eastAsia="Cambria" w:hAnsi="Cambria" w:cs="Cambria"/>
                <w:color w:val="000000"/>
                <w:sz w:val="20"/>
                <w:szCs w:val="20"/>
              </w:rPr>
              <w:t>patients</w:t>
            </w:r>
            <w:proofErr w:type="spellEnd"/>
            <w:r w:rsidRPr="00643E6A">
              <w:rPr>
                <w:rFonts w:ascii="Cambria" w:eastAsia="Cambria" w:hAnsi="Cambria" w:cs="Cambria"/>
                <w:color w:val="000000"/>
                <w:sz w:val="20"/>
                <w:szCs w:val="20"/>
              </w:rPr>
              <w:t xml:space="preserve"> with </w:t>
            </w:r>
            <w:proofErr w:type="spellStart"/>
            <w:r w:rsidRPr="00643E6A">
              <w:rPr>
                <w:rFonts w:ascii="Cambria" w:eastAsia="Cambria" w:hAnsi="Cambria" w:cs="Cambria"/>
                <w:color w:val="000000"/>
                <w:sz w:val="20"/>
                <w:szCs w:val="20"/>
              </w:rPr>
              <w:t>eating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disorders</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Increasing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prevalence</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clinical</w:t>
            </w:r>
            <w:proofErr w:type="spellEnd"/>
            <w:r w:rsidRPr="00643E6A">
              <w:rPr>
                <w:rFonts w:ascii="Cambria" w:eastAsia="Cambria" w:hAnsi="Cambria" w:cs="Cambria"/>
                <w:color w:val="000000"/>
                <w:sz w:val="20"/>
                <w:szCs w:val="20"/>
              </w:rPr>
              <w:t xml:space="preserve"> and </w:t>
            </w:r>
            <w:proofErr w:type="spellStart"/>
            <w:r w:rsidRPr="00643E6A">
              <w:rPr>
                <w:rFonts w:ascii="Cambria" w:eastAsia="Cambria" w:hAnsi="Cambria" w:cs="Cambria"/>
                <w:color w:val="000000"/>
                <w:sz w:val="20"/>
                <w:szCs w:val="20"/>
              </w:rPr>
              <w:t>personality</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correlates</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European</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Eating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Disorders</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Review</w:t>
            </w:r>
            <w:proofErr w:type="spellEnd"/>
            <w:r w:rsidRPr="00643E6A">
              <w:rPr>
                <w:rFonts w:ascii="Cambria" w:eastAsia="Cambria" w:hAnsi="Cambria" w:cs="Cambria"/>
                <w:color w:val="000000"/>
                <w:sz w:val="20"/>
                <w:szCs w:val="20"/>
              </w:rPr>
              <w:t>, 20(3), 250–254.</w:t>
            </w:r>
          </w:p>
          <w:p w14:paraId="322E9658" w14:textId="5134FC34" w:rsidR="00940F31" w:rsidRDefault="00643E6A" w:rsidP="00643E6A">
            <w:pPr>
              <w:pBdr>
                <w:top w:val="nil"/>
                <w:left w:val="nil"/>
                <w:bottom w:val="nil"/>
                <w:right w:val="nil"/>
                <w:between w:val="nil"/>
              </w:pBdr>
              <w:spacing w:line="274" w:lineRule="auto"/>
              <w:ind w:right="91"/>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Wojtyła, A., Biliński, P., Bojar, I., Wojtyła, C. (2011). Zaburzenia odżywiania u polskich gimnazjalistów. </w:t>
            </w:r>
            <w:proofErr w:type="spellStart"/>
            <w:r w:rsidRPr="00643E6A">
              <w:rPr>
                <w:rFonts w:ascii="Cambria" w:eastAsia="Cambria" w:hAnsi="Cambria" w:cs="Cambria"/>
                <w:color w:val="000000"/>
                <w:sz w:val="20"/>
                <w:szCs w:val="20"/>
              </w:rPr>
              <w:t>Probl</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Hig</w:t>
            </w:r>
            <w:proofErr w:type="spellEnd"/>
            <w:r w:rsidRPr="00643E6A">
              <w:rPr>
                <w:rFonts w:ascii="Cambria" w:eastAsia="Cambria" w:hAnsi="Cambria" w:cs="Cambria"/>
                <w:color w:val="000000"/>
                <w:sz w:val="20"/>
                <w:szCs w:val="20"/>
              </w:rPr>
              <w:t xml:space="preserve"> </w:t>
            </w:r>
            <w:proofErr w:type="spellStart"/>
            <w:r w:rsidRPr="00643E6A">
              <w:rPr>
                <w:rFonts w:ascii="Cambria" w:eastAsia="Cambria" w:hAnsi="Cambria" w:cs="Cambria"/>
                <w:color w:val="000000"/>
                <w:sz w:val="20"/>
                <w:szCs w:val="20"/>
              </w:rPr>
              <w:t>Epidemiol</w:t>
            </w:r>
            <w:proofErr w:type="spellEnd"/>
            <w:r w:rsidRPr="00643E6A">
              <w:rPr>
                <w:rFonts w:ascii="Cambria" w:eastAsia="Cambria" w:hAnsi="Cambria" w:cs="Cambria"/>
                <w:color w:val="000000"/>
                <w:sz w:val="20"/>
                <w:szCs w:val="20"/>
              </w:rPr>
              <w:t>, 92(2), 343-350.</w:t>
            </w:r>
          </w:p>
        </w:tc>
      </w:tr>
    </w:tbl>
    <w:p w14:paraId="062C232B" w14:textId="77777777" w:rsidR="00940F31" w:rsidRDefault="00940F31">
      <w:pPr>
        <w:pBdr>
          <w:top w:val="nil"/>
          <w:left w:val="nil"/>
          <w:bottom w:val="nil"/>
          <w:right w:val="nil"/>
          <w:between w:val="nil"/>
        </w:pBdr>
        <w:spacing w:line="276" w:lineRule="auto"/>
        <w:rPr>
          <w:rFonts w:ascii="Cambria" w:eastAsia="Cambria" w:hAnsi="Cambria" w:cs="Cambria"/>
          <w:color w:val="000000"/>
          <w:sz w:val="20"/>
          <w:szCs w:val="20"/>
        </w:rPr>
      </w:pPr>
    </w:p>
    <w:tbl>
      <w:tblPr>
        <w:tblStyle w:val="a2"/>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20E90E02" w14:textId="77777777">
        <w:trPr>
          <w:trHeight w:val="2180"/>
        </w:trPr>
        <w:tc>
          <w:tcPr>
            <w:tcW w:w="9286" w:type="dxa"/>
            <w:shd w:val="clear" w:color="auto" w:fill="F2F2F2"/>
          </w:tcPr>
          <w:p w14:paraId="664DDE7E" w14:textId="77777777" w:rsidR="00940F31" w:rsidRDefault="00620AE2">
            <w:pPr>
              <w:pBdr>
                <w:top w:val="nil"/>
                <w:left w:val="nil"/>
                <w:bottom w:val="nil"/>
                <w:right w:val="nil"/>
                <w:between w:val="nil"/>
              </w:pBdr>
              <w:spacing w:before="116" w:line="273" w:lineRule="auto"/>
              <w:ind w:left="110" w:right="74" w:hanging="110"/>
              <w:rPr>
                <w:rFonts w:ascii="Cambria" w:eastAsia="Cambria" w:hAnsi="Cambria" w:cs="Cambria"/>
                <w:b/>
                <w:color w:val="000000"/>
                <w:sz w:val="20"/>
                <w:szCs w:val="20"/>
              </w:rPr>
            </w:pPr>
            <w:r>
              <w:rPr>
                <w:rFonts w:ascii="Cambria" w:eastAsia="Cambria" w:hAnsi="Cambria" w:cs="Cambria"/>
                <w:b/>
                <w:color w:val="000000"/>
                <w:sz w:val="20"/>
                <w:szCs w:val="20"/>
              </w:rPr>
              <w:t>Odniesienie do kwaliﬁkacji o zbliżonym charakterze oraz wskazanie kwaliﬁkacji ujętych w ZRK zawierających wspólne zestawy efektów uczenia się</w:t>
            </w:r>
          </w:p>
          <w:p w14:paraId="545D789D" w14:textId="77777777" w:rsidR="00940F31" w:rsidRDefault="00620AE2">
            <w:pPr>
              <w:pBdr>
                <w:top w:val="nil"/>
                <w:left w:val="nil"/>
                <w:bottom w:val="nil"/>
                <w:right w:val="nil"/>
                <w:between w:val="nil"/>
              </w:pBdr>
              <w:spacing w:before="121" w:line="271" w:lineRule="auto"/>
              <w:ind w:left="110" w:right="90"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k). Wyjaśnienie, czym kwalifikacja różni się od wybranych kwalifikacji o zbliżonym charakterze. Punktem odniesienia powinny być kwalifikacje funkcjonujące w ZSK. Ponadto wskazanie kwalifikacji wpisanych do ZRK, które zawierają co najmniej jeden taki sam zestaw efektów.</w:t>
            </w:r>
          </w:p>
        </w:tc>
      </w:tr>
      <w:tr w:rsidR="00940F31" w14:paraId="352DF9EB" w14:textId="77777777">
        <w:trPr>
          <w:trHeight w:val="540"/>
        </w:trPr>
        <w:tc>
          <w:tcPr>
            <w:tcW w:w="9286" w:type="dxa"/>
          </w:tcPr>
          <w:p w14:paraId="27CB1694"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lastRenderedPageBreak/>
              <w:t>Brak kwalifikacji o zbliżonym charakterze.</w:t>
            </w:r>
          </w:p>
        </w:tc>
      </w:tr>
      <w:tr w:rsidR="00940F31" w14:paraId="0E0501AE" w14:textId="77777777">
        <w:trPr>
          <w:trHeight w:val="2300"/>
        </w:trPr>
        <w:tc>
          <w:tcPr>
            <w:tcW w:w="9286" w:type="dxa"/>
            <w:shd w:val="clear" w:color="auto" w:fill="F2F2F2"/>
          </w:tcPr>
          <w:p w14:paraId="3FD97128" w14:textId="77777777" w:rsidR="00940F31" w:rsidRDefault="00620AE2">
            <w:pPr>
              <w:pBdr>
                <w:top w:val="nil"/>
                <w:left w:val="nil"/>
                <w:bottom w:val="nil"/>
                <w:right w:val="nil"/>
                <w:between w:val="nil"/>
              </w:pBdr>
              <w:spacing w:before="119"/>
              <w:ind w:left="110" w:hanging="110"/>
              <w:rPr>
                <w:rFonts w:ascii="Cambria" w:eastAsia="Cambria" w:hAnsi="Cambria" w:cs="Cambria"/>
                <w:b/>
                <w:color w:val="000000"/>
                <w:sz w:val="20"/>
                <w:szCs w:val="20"/>
              </w:rPr>
            </w:pPr>
            <w:r>
              <w:rPr>
                <w:rFonts w:ascii="Cambria" w:eastAsia="Cambria" w:hAnsi="Cambria" w:cs="Cambria"/>
                <w:b/>
                <w:color w:val="000000"/>
                <w:sz w:val="20"/>
                <w:szCs w:val="20"/>
              </w:rPr>
              <w:t>Typowe możliwości wykorzystania kwalifikacji</w:t>
            </w:r>
          </w:p>
          <w:p w14:paraId="13D6DBA2" w14:textId="77777777" w:rsidR="00940F31" w:rsidRDefault="00620AE2">
            <w:pPr>
              <w:pBdr>
                <w:top w:val="nil"/>
                <w:left w:val="nil"/>
                <w:bottom w:val="nil"/>
                <w:right w:val="nil"/>
                <w:between w:val="nil"/>
              </w:pBdr>
              <w:spacing w:before="155" w:line="273" w:lineRule="auto"/>
              <w:ind w:left="110" w:right="90"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j). Omówienie perspektyw zatrudnienia i dalszego uczenia się, najistotniejszych z punktu widzenia rozwoju osobistego i zawodowego osób zainteresowanych uzyskaniem kwalifikacji.</w:t>
            </w:r>
          </w:p>
          <w:p w14:paraId="34B48FFF" w14:textId="77777777" w:rsidR="00940F31" w:rsidRDefault="00620AE2">
            <w:pPr>
              <w:pBdr>
                <w:top w:val="nil"/>
                <w:left w:val="nil"/>
                <w:bottom w:val="nil"/>
                <w:right w:val="nil"/>
                <w:between w:val="nil"/>
              </w:pBdr>
              <w:spacing w:before="119" w:line="273" w:lineRule="auto"/>
              <w:ind w:left="110" w:right="92" w:hanging="110"/>
              <w:jc w:val="both"/>
              <w:rPr>
                <w:rFonts w:ascii="Cambria" w:eastAsia="Cambria" w:hAnsi="Cambria" w:cs="Cambria"/>
                <w:color w:val="000000"/>
                <w:sz w:val="20"/>
                <w:szCs w:val="20"/>
              </w:rPr>
            </w:pPr>
            <w:r>
              <w:rPr>
                <w:rFonts w:ascii="Cambria" w:eastAsia="Cambria" w:hAnsi="Cambria" w:cs="Cambria"/>
                <w:color w:val="000000"/>
                <w:sz w:val="20"/>
                <w:szCs w:val="20"/>
              </w:rPr>
              <w:t>Możliwe jest wskazanie przykładowych stanowisk pracy, na które będzie mogła aplikować osoba posiadająca daną kwalifikację.</w:t>
            </w:r>
          </w:p>
        </w:tc>
      </w:tr>
      <w:tr w:rsidR="00940F31" w14:paraId="4D641831" w14:textId="77777777">
        <w:trPr>
          <w:trHeight w:val="3520"/>
        </w:trPr>
        <w:tc>
          <w:tcPr>
            <w:tcW w:w="9286" w:type="dxa"/>
          </w:tcPr>
          <w:p w14:paraId="0D3ADAAC" w14:textId="77777777" w:rsidR="00643E6A" w:rsidRPr="00643E6A" w:rsidRDefault="00643E6A" w:rsidP="00643E6A">
            <w:pPr>
              <w:pBdr>
                <w:top w:val="nil"/>
                <w:left w:val="nil"/>
                <w:bottom w:val="nil"/>
                <w:right w:val="nil"/>
                <w:between w:val="nil"/>
              </w:pBdr>
              <w:spacing w:before="116" w:line="273" w:lineRule="auto"/>
              <w:ind w:left="110" w:hanging="110"/>
              <w:rPr>
                <w:rFonts w:ascii="Cambria" w:eastAsia="Cambria" w:hAnsi="Cambria" w:cs="Cambria"/>
                <w:color w:val="000000"/>
                <w:sz w:val="20"/>
                <w:szCs w:val="20"/>
              </w:rPr>
            </w:pPr>
            <w:r w:rsidRPr="00643E6A">
              <w:rPr>
                <w:rFonts w:ascii="Cambria" w:eastAsia="Cambria" w:hAnsi="Cambria" w:cs="Cambria"/>
                <w:color w:val="000000"/>
                <w:sz w:val="20"/>
                <w:szCs w:val="20"/>
              </w:rPr>
              <w:t xml:space="preserve">Kwalifikacja ta jest przeznaczona przede wszystkim dla osób zatrudnionych w placówka oświatowych (szkoły poradnie psychologiczno-pedagogiczne) i pracujących z dziećmi i młodzieżą: nauczycieli, pedagogów, psychologów szkolnych i pielęgniarek szkolnych.  </w:t>
            </w:r>
          </w:p>
          <w:p w14:paraId="2EC16C4A" w14:textId="25E3B793" w:rsidR="00940F31" w:rsidRDefault="00643E6A" w:rsidP="00643E6A">
            <w:pPr>
              <w:pBdr>
                <w:top w:val="nil"/>
                <w:left w:val="nil"/>
                <w:bottom w:val="nil"/>
                <w:right w:val="nil"/>
                <w:between w:val="nil"/>
              </w:pBdr>
              <w:spacing w:before="116" w:line="273" w:lineRule="auto"/>
              <w:ind w:left="110" w:hanging="110"/>
              <w:rPr>
                <w:rFonts w:ascii="Cambria" w:eastAsia="Cambria" w:hAnsi="Cambria" w:cs="Cambria"/>
                <w:color w:val="000000"/>
                <w:sz w:val="20"/>
                <w:szCs w:val="20"/>
              </w:rPr>
            </w:pPr>
            <w:r w:rsidRPr="00643E6A">
              <w:rPr>
                <w:rFonts w:ascii="Cambria" w:eastAsia="Cambria" w:hAnsi="Cambria" w:cs="Cambria"/>
                <w:color w:val="000000"/>
                <w:sz w:val="20"/>
                <w:szCs w:val="20"/>
              </w:rPr>
              <w:t>Osoby posiadające tę kwalifikację mogą więc wykorzystywać ją w swojej dotychczasowej pracy. Dzięki uzyskaniu tej kwalifikacji osoby niezajmujące się terapią otyłości, niedowagi i zaburzeń odżywiania będą potrafiły prowadzić działania profilaktyczne i tak zwane wczesne interwencje względem osób dotkniętych lub zagrożonych tymi problemami.</w:t>
            </w:r>
          </w:p>
        </w:tc>
      </w:tr>
      <w:tr w:rsidR="00940F31" w14:paraId="021ED73D" w14:textId="77777777">
        <w:trPr>
          <w:trHeight w:val="340"/>
        </w:trPr>
        <w:tc>
          <w:tcPr>
            <w:tcW w:w="9286" w:type="dxa"/>
            <w:shd w:val="clear" w:color="auto" w:fill="F2F2F2"/>
          </w:tcPr>
          <w:p w14:paraId="1400EA51"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Wymagania dotyczące walidacji i podmiotów przeprowadzających walidację</w:t>
            </w:r>
          </w:p>
          <w:p w14:paraId="0229E917" w14:textId="77777777" w:rsidR="00940F31" w:rsidRDefault="00620AE2">
            <w:pPr>
              <w:pBdr>
                <w:top w:val="nil"/>
                <w:left w:val="nil"/>
                <w:bottom w:val="nil"/>
                <w:right w:val="nil"/>
                <w:between w:val="nil"/>
              </w:pBdr>
              <w:spacing w:before="156"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ust.1 pkt 2) lit. h). Określenie wymagań stanowiących podstawę do przeprowadzania walidacji w różnych instytucjach. Wymagania powinny dotyczyć:</w:t>
            </w:r>
          </w:p>
          <w:p w14:paraId="1CDFCBA8" w14:textId="77777777" w:rsidR="00940F31" w:rsidRDefault="00620AE2">
            <w:pPr>
              <w:numPr>
                <w:ilvl w:val="0"/>
                <w:numId w:val="9"/>
              </w:numPr>
              <w:pBdr>
                <w:top w:val="nil"/>
                <w:left w:val="nil"/>
                <w:bottom w:val="nil"/>
                <w:right w:val="nil"/>
                <w:between w:val="nil"/>
              </w:pBdr>
              <w:tabs>
                <w:tab w:val="left" w:pos="830"/>
                <w:tab w:val="left" w:pos="831"/>
              </w:tabs>
              <w:spacing w:line="266" w:lineRule="auto"/>
              <w:rPr>
                <w:i/>
                <w:color w:val="000000"/>
              </w:rPr>
            </w:pPr>
            <w:r>
              <w:rPr>
                <w:rFonts w:ascii="Cambria" w:eastAsia="Cambria" w:hAnsi="Cambria" w:cs="Cambria"/>
                <w:i/>
                <w:color w:val="000000"/>
                <w:sz w:val="20"/>
                <w:szCs w:val="20"/>
              </w:rPr>
              <w:t>metod stosowanych w walidacji – służących weryfikacji efektów uczenia się wymaganych dla kwalifikacji, ale także (o ile to potrzebne) identyfikowaniu i dokumentowaniu efektów uczenia się; osób projektujących i przeprowadzających walidację;</w:t>
            </w:r>
          </w:p>
          <w:p w14:paraId="5094BDA1" w14:textId="77777777" w:rsidR="00940F31" w:rsidRDefault="00620AE2">
            <w:pPr>
              <w:numPr>
                <w:ilvl w:val="0"/>
                <w:numId w:val="9"/>
              </w:numPr>
              <w:pBdr>
                <w:top w:val="nil"/>
                <w:left w:val="nil"/>
                <w:bottom w:val="nil"/>
                <w:right w:val="nil"/>
                <w:between w:val="nil"/>
              </w:pBdr>
              <w:tabs>
                <w:tab w:val="left" w:pos="829"/>
                <w:tab w:val="left" w:pos="831"/>
              </w:tabs>
              <w:spacing w:before="154" w:line="273" w:lineRule="auto"/>
              <w:ind w:right="92"/>
              <w:rPr>
                <w:i/>
                <w:color w:val="000000"/>
              </w:rPr>
            </w:pPr>
            <w:r>
              <w:rPr>
                <w:rFonts w:ascii="Cambria" w:eastAsia="Cambria" w:hAnsi="Cambria" w:cs="Cambria"/>
                <w:i/>
                <w:color w:val="000000"/>
                <w:sz w:val="20"/>
                <w:szCs w:val="20"/>
              </w:rPr>
              <w:t>sposobu prowadzenia walidacji oraz warunków organizacyjnych i materialnych, niezbędnych do prawidłowego prowadzenia walidacji.</w:t>
            </w:r>
          </w:p>
          <w:p w14:paraId="753BB2E9" w14:textId="77777777" w:rsidR="00940F31" w:rsidRDefault="00620AE2">
            <w:pPr>
              <w:numPr>
                <w:ilvl w:val="0"/>
                <w:numId w:val="9"/>
              </w:numPr>
              <w:pBdr>
                <w:top w:val="nil"/>
                <w:left w:val="nil"/>
                <w:bottom w:val="nil"/>
                <w:right w:val="nil"/>
                <w:between w:val="nil"/>
              </w:pBdr>
              <w:tabs>
                <w:tab w:val="left" w:pos="829"/>
                <w:tab w:val="left" w:pos="831"/>
              </w:tabs>
              <w:spacing w:before="154" w:line="273" w:lineRule="auto"/>
              <w:ind w:right="92"/>
              <w:rPr>
                <w:i/>
                <w:color w:val="000000"/>
              </w:rPr>
            </w:pPr>
            <w:r>
              <w:rPr>
                <w:rFonts w:ascii="Cambria" w:eastAsia="Cambria" w:hAnsi="Cambria" w:cs="Cambria"/>
                <w:i/>
                <w:color w:val="000000"/>
                <w:sz w:val="20"/>
                <w:szCs w:val="20"/>
              </w:rPr>
              <w:t>Wymagania dotyczące walidacji mogą być wskazane dla pojedynczych zestawów efektów uczenia się lub dla całej kwalifikacji.</w:t>
            </w:r>
          </w:p>
          <w:p w14:paraId="0E4B844B" w14:textId="77777777" w:rsidR="00940F31" w:rsidRDefault="00620AE2">
            <w:pPr>
              <w:numPr>
                <w:ilvl w:val="0"/>
                <w:numId w:val="9"/>
              </w:numPr>
              <w:pBdr>
                <w:top w:val="nil"/>
                <w:left w:val="nil"/>
                <w:bottom w:val="nil"/>
                <w:right w:val="nil"/>
                <w:between w:val="nil"/>
              </w:pBdr>
              <w:tabs>
                <w:tab w:val="left" w:pos="829"/>
                <w:tab w:val="left" w:pos="831"/>
              </w:tabs>
              <w:spacing w:before="154" w:line="273" w:lineRule="auto"/>
              <w:ind w:right="92"/>
              <w:rPr>
                <w:i/>
                <w:color w:val="000000"/>
              </w:rPr>
            </w:pPr>
            <w:r>
              <w:rPr>
                <w:rFonts w:ascii="Cambria" w:eastAsia="Cambria" w:hAnsi="Cambria" w:cs="Cambria"/>
                <w:i/>
                <w:color w:val="000000"/>
                <w:sz w:val="20"/>
                <w:szCs w:val="20"/>
              </w:rPr>
              <w:t>Wymagania mogą być uzupełnione o dodatkowe wskazówki dla instytucji oraz osób projektujących i przeprowadzających walidacje, a także dla osób ubiegających się o uzyskanie kwalifikacji.</w:t>
            </w:r>
          </w:p>
        </w:tc>
      </w:tr>
    </w:tbl>
    <w:p w14:paraId="7433F628" w14:textId="77777777" w:rsidR="00940F31" w:rsidRDefault="00940F31">
      <w:pPr>
        <w:pBdr>
          <w:top w:val="nil"/>
          <w:left w:val="nil"/>
          <w:bottom w:val="nil"/>
          <w:right w:val="nil"/>
          <w:between w:val="nil"/>
        </w:pBdr>
        <w:spacing w:line="276" w:lineRule="auto"/>
        <w:rPr>
          <w:rFonts w:ascii="Cambria" w:eastAsia="Cambria" w:hAnsi="Cambria" w:cs="Cambria"/>
          <w:i/>
          <w:color w:val="000000"/>
          <w:sz w:val="20"/>
          <w:szCs w:val="20"/>
        </w:rPr>
      </w:pPr>
    </w:p>
    <w:tbl>
      <w:tblPr>
        <w:tblStyle w:val="a3"/>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56A5D833" w14:textId="77777777">
        <w:trPr>
          <w:trHeight w:val="2040"/>
        </w:trPr>
        <w:tc>
          <w:tcPr>
            <w:tcW w:w="9286" w:type="dxa"/>
          </w:tcPr>
          <w:p w14:paraId="087742D0" w14:textId="77777777" w:rsidR="00940F31" w:rsidRDefault="00940F31">
            <w:pPr>
              <w:rPr>
                <w:rFonts w:ascii="Cambria" w:eastAsia="Cambria" w:hAnsi="Cambria" w:cs="Cambria"/>
                <w:sz w:val="20"/>
                <w:szCs w:val="20"/>
              </w:rPr>
            </w:pPr>
          </w:p>
          <w:p w14:paraId="0E2DE53E"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p>
          <w:p w14:paraId="11C02FD4"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1. Etap weryfikacji</w:t>
            </w:r>
          </w:p>
          <w:p w14:paraId="14F78341"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1.1 Metody</w:t>
            </w:r>
          </w:p>
          <w:p w14:paraId="767300AB"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Wszystkie zestawy efektów uczenia się są sprawdzane wyłącznie za pomocą następujących metod: test teoretyczny, rozmowa z komisją (wywiad swobodny), analiza dowodów i deklaracji: </w:t>
            </w:r>
          </w:p>
          <w:p w14:paraId="34ED98D5" w14:textId="77777777" w:rsidR="00643E6A" w:rsidRPr="00643E6A" w:rsidRDefault="00643E6A" w:rsidP="00643E6A">
            <w:pPr>
              <w:pStyle w:val="Akapitzlist"/>
              <w:numPr>
                <w:ilvl w:val="0"/>
                <w:numId w:val="17"/>
              </w:numPr>
              <w:pBdr>
                <w:top w:val="nil"/>
                <w:left w:val="nil"/>
                <w:bottom w:val="nil"/>
                <w:right w:val="nil"/>
                <w:between w:val="nil"/>
              </w:pBdr>
              <w:spacing w:line="261" w:lineRule="auto"/>
              <w:jc w:val="both"/>
              <w:rPr>
                <w:rFonts w:ascii="Cambria" w:eastAsia="Cambria" w:hAnsi="Cambria" w:cs="Cambria"/>
                <w:color w:val="000000"/>
                <w:sz w:val="20"/>
                <w:szCs w:val="20"/>
              </w:rPr>
            </w:pPr>
            <w:r w:rsidRPr="00643E6A">
              <w:rPr>
                <w:rFonts w:ascii="Cambria" w:eastAsia="Cambria" w:hAnsi="Cambria" w:cs="Cambria"/>
                <w:color w:val="000000"/>
                <w:sz w:val="20"/>
                <w:szCs w:val="20"/>
              </w:rPr>
              <w:t>test teoretyczny sprawdzający efekty z zestawów:  01 i 02</w:t>
            </w:r>
          </w:p>
          <w:p w14:paraId="1A0CEED6" w14:textId="77777777" w:rsidR="00643E6A" w:rsidRPr="00643E6A" w:rsidRDefault="00643E6A" w:rsidP="00643E6A">
            <w:pPr>
              <w:pStyle w:val="Akapitzlist"/>
              <w:numPr>
                <w:ilvl w:val="0"/>
                <w:numId w:val="18"/>
              </w:numPr>
              <w:pBdr>
                <w:top w:val="nil"/>
                <w:left w:val="nil"/>
                <w:bottom w:val="nil"/>
                <w:right w:val="nil"/>
                <w:between w:val="nil"/>
              </w:pBdr>
              <w:spacing w:line="261" w:lineRule="auto"/>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analiza dowodów i deklaracji sprawdzająca efekty z zestawów 03 – 04;  obejmować będzie: (1) sprawozdania z cyklu </w:t>
            </w:r>
            <w:proofErr w:type="spellStart"/>
            <w:r w:rsidRPr="00643E6A">
              <w:rPr>
                <w:rFonts w:ascii="Cambria" w:eastAsia="Cambria" w:hAnsi="Cambria" w:cs="Cambria"/>
                <w:color w:val="000000"/>
                <w:sz w:val="20"/>
                <w:szCs w:val="20"/>
              </w:rPr>
              <w:t>grupowychwarsztatów</w:t>
            </w:r>
            <w:proofErr w:type="spellEnd"/>
            <w:r w:rsidRPr="00643E6A">
              <w:rPr>
                <w:rFonts w:ascii="Cambria" w:eastAsia="Cambria" w:hAnsi="Cambria" w:cs="Cambria"/>
                <w:color w:val="000000"/>
                <w:sz w:val="20"/>
                <w:szCs w:val="20"/>
              </w:rPr>
              <w:t xml:space="preserve"> profilaktyki nienormatywnej masy ciała oraz (2) sprawozdanie z  cyklu indywidualnych działań pomocowych względem osoby z zaburzeniami odżywiania</w:t>
            </w:r>
          </w:p>
          <w:p w14:paraId="7D3337D8" w14:textId="77777777" w:rsidR="00643E6A" w:rsidRPr="00643E6A" w:rsidRDefault="00643E6A" w:rsidP="00643E6A">
            <w:pPr>
              <w:pStyle w:val="Akapitzlist"/>
              <w:numPr>
                <w:ilvl w:val="0"/>
                <w:numId w:val="17"/>
              </w:numPr>
              <w:pBdr>
                <w:top w:val="nil"/>
                <w:left w:val="nil"/>
                <w:bottom w:val="nil"/>
                <w:right w:val="nil"/>
                <w:between w:val="nil"/>
              </w:pBdr>
              <w:spacing w:line="261" w:lineRule="auto"/>
              <w:jc w:val="both"/>
              <w:rPr>
                <w:rFonts w:ascii="Cambria" w:eastAsia="Cambria" w:hAnsi="Cambria" w:cs="Cambria"/>
                <w:color w:val="000000"/>
                <w:sz w:val="20"/>
                <w:szCs w:val="20"/>
              </w:rPr>
            </w:pPr>
            <w:r w:rsidRPr="00643E6A">
              <w:rPr>
                <w:rFonts w:ascii="Cambria" w:eastAsia="Cambria" w:hAnsi="Cambria" w:cs="Cambria"/>
                <w:color w:val="000000"/>
                <w:sz w:val="20"/>
                <w:szCs w:val="20"/>
              </w:rPr>
              <w:t>rozmowa z komisją (wywiad ustrukturalizowany) - analiza dwóch przypadków i omówienie proponowanych oddziaływań pomocowych względem osoby z zaburzeniami odżywiania oraz względem osoby z nienormatywną masą ciała, uwzględniających komunikowanie problemu rodzicom/opiekunom, weryfikacja efektów uczenia z zestawów 01 – 04.</w:t>
            </w:r>
          </w:p>
          <w:p w14:paraId="30F24AD6"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p>
          <w:p w14:paraId="5A2DC6D6"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1.2 Zasoby kadrowe</w:t>
            </w:r>
          </w:p>
          <w:p w14:paraId="2931EA71"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Komisja egzaminacyjna składa się z 3 osób.</w:t>
            </w:r>
          </w:p>
          <w:p w14:paraId="7AFBBDB3"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lastRenderedPageBreak/>
              <w:t xml:space="preserve">Każdy członek komisji musi spełnić następujące warunki: </w:t>
            </w:r>
          </w:p>
          <w:p w14:paraId="26A97543" w14:textId="77777777" w:rsidR="00643E6A" w:rsidRPr="00643E6A" w:rsidRDefault="00643E6A" w:rsidP="00643E6A">
            <w:pPr>
              <w:pStyle w:val="Akapitzlist"/>
              <w:numPr>
                <w:ilvl w:val="0"/>
                <w:numId w:val="19"/>
              </w:numPr>
              <w:pBdr>
                <w:top w:val="nil"/>
                <w:left w:val="nil"/>
                <w:bottom w:val="nil"/>
                <w:right w:val="nil"/>
                <w:between w:val="nil"/>
              </w:pBdr>
              <w:spacing w:line="261" w:lineRule="auto"/>
              <w:ind w:left="447"/>
              <w:jc w:val="both"/>
              <w:rPr>
                <w:rFonts w:ascii="Cambria" w:eastAsia="Cambria" w:hAnsi="Cambria" w:cs="Cambria"/>
                <w:color w:val="000000"/>
                <w:sz w:val="20"/>
                <w:szCs w:val="20"/>
              </w:rPr>
            </w:pPr>
            <w:r w:rsidRPr="00643E6A">
              <w:rPr>
                <w:rFonts w:ascii="Cambria" w:eastAsia="Cambria" w:hAnsi="Cambria" w:cs="Cambria"/>
                <w:color w:val="000000"/>
                <w:sz w:val="20"/>
                <w:szCs w:val="20"/>
              </w:rPr>
              <w:t>posiadać wykształcenie wyższe kierunkowe w zakresie psychologii, pedagogiki lub dietetyki/ kierunku dot. żywienia człowieka, przy czym w skład komisji zawsze musi wchodzić zarówno psycholog, dietetyk/absolwent kierunku dot. żywienia człowieka)</w:t>
            </w:r>
          </w:p>
          <w:p w14:paraId="4E046148" w14:textId="77777777" w:rsidR="00643E6A" w:rsidRPr="00643E6A" w:rsidRDefault="00643E6A" w:rsidP="00643E6A">
            <w:pPr>
              <w:pStyle w:val="Akapitzlist"/>
              <w:numPr>
                <w:ilvl w:val="0"/>
                <w:numId w:val="19"/>
              </w:numPr>
              <w:pBdr>
                <w:top w:val="nil"/>
                <w:left w:val="nil"/>
                <w:bottom w:val="nil"/>
                <w:right w:val="nil"/>
                <w:between w:val="nil"/>
              </w:pBdr>
              <w:spacing w:line="261" w:lineRule="auto"/>
              <w:ind w:left="447"/>
              <w:jc w:val="both"/>
              <w:rPr>
                <w:rFonts w:ascii="Cambria" w:eastAsia="Cambria" w:hAnsi="Cambria" w:cs="Cambria"/>
                <w:color w:val="000000"/>
                <w:sz w:val="20"/>
                <w:szCs w:val="20"/>
              </w:rPr>
            </w:pPr>
            <w:r w:rsidRPr="00643E6A">
              <w:rPr>
                <w:rFonts w:ascii="Cambria" w:eastAsia="Cambria" w:hAnsi="Cambria" w:cs="Cambria"/>
                <w:color w:val="000000"/>
                <w:sz w:val="20"/>
                <w:szCs w:val="20"/>
              </w:rPr>
              <w:t>posiada minimum trzyletnie doświadczenie w pracy z pacjentem z nienormatywną masą ciała i zaburzeniami odżywiania</w:t>
            </w:r>
          </w:p>
          <w:p w14:paraId="1914EE1C" w14:textId="77777777" w:rsidR="00643E6A" w:rsidRPr="00643E6A" w:rsidRDefault="00643E6A" w:rsidP="00643E6A">
            <w:pPr>
              <w:pStyle w:val="Akapitzlist"/>
              <w:numPr>
                <w:ilvl w:val="0"/>
                <w:numId w:val="19"/>
              </w:numPr>
              <w:pBdr>
                <w:top w:val="nil"/>
                <w:left w:val="nil"/>
                <w:bottom w:val="nil"/>
                <w:right w:val="nil"/>
                <w:between w:val="nil"/>
              </w:pBdr>
              <w:spacing w:line="261" w:lineRule="auto"/>
              <w:ind w:left="447"/>
              <w:jc w:val="both"/>
              <w:rPr>
                <w:rFonts w:ascii="Cambria" w:eastAsia="Cambria" w:hAnsi="Cambria" w:cs="Cambria"/>
                <w:color w:val="000000"/>
                <w:sz w:val="20"/>
                <w:szCs w:val="20"/>
              </w:rPr>
            </w:pPr>
            <w:r w:rsidRPr="00643E6A">
              <w:rPr>
                <w:rFonts w:ascii="Cambria" w:eastAsia="Cambria" w:hAnsi="Cambria" w:cs="Cambria"/>
                <w:color w:val="000000"/>
                <w:sz w:val="20"/>
                <w:szCs w:val="20"/>
              </w:rPr>
              <w:t>posiada doświadczanie w weryfikowaniu efektów uczenia się osób dorosłych np. na studiach podyplomowych.</w:t>
            </w:r>
          </w:p>
          <w:p w14:paraId="52FF71AD"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p>
          <w:p w14:paraId="2CB8DAF5"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Dodatkowo minimum jednia osoba z komisji posiada tytuł doktora w dyscyplinie psychologia lub nauk o zdrowiu oraz jedna osoba z komisji posiada ukończone studia podyplomowe z </w:t>
            </w:r>
            <w:proofErr w:type="spellStart"/>
            <w:r w:rsidRPr="00643E6A">
              <w:rPr>
                <w:rFonts w:ascii="Cambria" w:eastAsia="Cambria" w:hAnsi="Cambria" w:cs="Cambria"/>
                <w:color w:val="000000"/>
                <w:sz w:val="20"/>
                <w:szCs w:val="20"/>
              </w:rPr>
              <w:t>psychodietetyki</w:t>
            </w:r>
            <w:proofErr w:type="spellEnd"/>
            <w:r w:rsidRPr="00643E6A">
              <w:rPr>
                <w:rFonts w:ascii="Cambria" w:eastAsia="Cambria" w:hAnsi="Cambria" w:cs="Cambria"/>
                <w:color w:val="000000"/>
                <w:sz w:val="20"/>
                <w:szCs w:val="20"/>
              </w:rPr>
              <w:t xml:space="preserve"> lub inne studia podyplomowe wskazujące na dysponowanie bazową wiedzą o żywieniu człowieka, aktywności fizycznej i psychologii jedzenia</w:t>
            </w:r>
          </w:p>
          <w:p w14:paraId="4AB4AC10"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p>
          <w:p w14:paraId="1039D175"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1.3. Sposób organizacji walidacji oraz warunki organizacyjne i materialne</w:t>
            </w:r>
          </w:p>
          <w:p w14:paraId="152541B5"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Instytucja Certyfikująca musi zapewnić salę z dostępem do komputera, projektora/rzutnika oraz ekranu (do przeprowadzenia prezentacji multimedialnej).</w:t>
            </w:r>
          </w:p>
          <w:p w14:paraId="51568C2D"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p>
          <w:p w14:paraId="004C88DF"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2. Etapy identyfikowania dokumentowania </w:t>
            </w:r>
          </w:p>
          <w:p w14:paraId="132B836B" w14:textId="77777777" w:rsidR="00643E6A" w:rsidRPr="00643E6A" w:rsidRDefault="00643E6A" w:rsidP="00643E6A">
            <w:pPr>
              <w:pBdr>
                <w:top w:val="nil"/>
                <w:left w:val="nil"/>
                <w:bottom w:val="nil"/>
                <w:right w:val="nil"/>
                <w:between w:val="nil"/>
              </w:pBdr>
              <w:spacing w:line="261" w:lineRule="auto"/>
              <w:ind w:left="110" w:hanging="110"/>
              <w:jc w:val="both"/>
              <w:rPr>
                <w:rFonts w:ascii="Cambria" w:eastAsia="Cambria" w:hAnsi="Cambria" w:cs="Cambria"/>
                <w:color w:val="000000"/>
                <w:sz w:val="20"/>
                <w:szCs w:val="20"/>
              </w:rPr>
            </w:pPr>
            <w:r w:rsidRPr="00643E6A">
              <w:rPr>
                <w:rFonts w:ascii="Cambria" w:eastAsia="Cambria" w:hAnsi="Cambria" w:cs="Cambria"/>
                <w:color w:val="000000"/>
                <w:sz w:val="20"/>
                <w:szCs w:val="20"/>
              </w:rPr>
              <w:t xml:space="preserve">Instytucja certyfikująca musi zapewnić kandydatom dostęp do doradcy walidacyjnego. </w:t>
            </w:r>
          </w:p>
          <w:p w14:paraId="407EAC54" w14:textId="3F278CA3" w:rsidR="00940F31" w:rsidRDefault="00643E6A" w:rsidP="00643E6A">
            <w:pPr>
              <w:pBdr>
                <w:top w:val="nil"/>
                <w:left w:val="nil"/>
                <w:bottom w:val="nil"/>
                <w:right w:val="nil"/>
                <w:between w:val="nil"/>
              </w:pBdr>
              <w:spacing w:before="130" w:line="357" w:lineRule="auto"/>
              <w:ind w:left="110" w:hanging="110"/>
              <w:rPr>
                <w:rFonts w:ascii="Cambria" w:eastAsia="Cambria" w:hAnsi="Cambria" w:cs="Cambria"/>
                <w:color w:val="000000"/>
                <w:sz w:val="20"/>
                <w:szCs w:val="20"/>
              </w:rPr>
            </w:pPr>
            <w:r w:rsidRPr="00643E6A">
              <w:rPr>
                <w:rFonts w:ascii="Cambria" w:eastAsia="Cambria" w:hAnsi="Cambria" w:cs="Cambria"/>
                <w:color w:val="000000"/>
                <w:sz w:val="20"/>
                <w:szCs w:val="20"/>
              </w:rPr>
              <w:t>Osoba pełniąca funkcję doradcy walidacyjnego powinna posługiwać się wiedzą dotyczącą: (1) efektów</w:t>
            </w:r>
            <w:r>
              <w:rPr>
                <w:rFonts w:ascii="Cambria" w:eastAsia="Cambria" w:hAnsi="Cambria" w:cs="Cambria"/>
                <w:color w:val="000000"/>
                <w:sz w:val="20"/>
                <w:szCs w:val="20"/>
              </w:rPr>
              <w:t xml:space="preserve"> </w:t>
            </w:r>
            <w:r w:rsidRPr="00643E6A">
              <w:rPr>
                <w:rFonts w:ascii="Cambria" w:eastAsia="Cambria" w:hAnsi="Cambria" w:cs="Cambria"/>
                <w:color w:val="000000"/>
                <w:sz w:val="20"/>
                <w:szCs w:val="20"/>
              </w:rPr>
              <w:t>uczenia dla kwalifikacji, (2) metod walidacji dla danej kwalifikacji, (3) systemu kwalifikacji zawodowych w Polsce i zagranicą</w:t>
            </w:r>
          </w:p>
        </w:tc>
      </w:tr>
    </w:tbl>
    <w:p w14:paraId="3363F385" w14:textId="77777777" w:rsidR="00940F31" w:rsidRDefault="00940F31">
      <w:pPr>
        <w:pBdr>
          <w:top w:val="nil"/>
          <w:left w:val="nil"/>
          <w:bottom w:val="nil"/>
          <w:right w:val="nil"/>
          <w:between w:val="nil"/>
        </w:pBdr>
        <w:spacing w:line="276" w:lineRule="auto"/>
        <w:rPr>
          <w:rFonts w:ascii="Cambria" w:eastAsia="Cambria" w:hAnsi="Cambria" w:cs="Cambria"/>
          <w:color w:val="000000"/>
          <w:sz w:val="20"/>
          <w:szCs w:val="20"/>
        </w:rPr>
      </w:pPr>
    </w:p>
    <w:tbl>
      <w:tblPr>
        <w:tblStyle w:val="a4"/>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69C093BB" w14:textId="77777777">
        <w:trPr>
          <w:trHeight w:val="1540"/>
        </w:trPr>
        <w:tc>
          <w:tcPr>
            <w:tcW w:w="9286" w:type="dxa"/>
            <w:shd w:val="clear" w:color="auto" w:fill="F2F2F2"/>
          </w:tcPr>
          <w:p w14:paraId="1C820ABD" w14:textId="77777777" w:rsidR="00940F31" w:rsidRDefault="00620AE2">
            <w:pPr>
              <w:pBdr>
                <w:top w:val="nil"/>
                <w:left w:val="nil"/>
                <w:bottom w:val="nil"/>
                <w:right w:val="nil"/>
                <w:between w:val="nil"/>
              </w:pBdr>
              <w:spacing w:before="114"/>
              <w:ind w:left="110" w:hanging="110"/>
              <w:rPr>
                <w:rFonts w:ascii="Cambria" w:eastAsia="Cambria" w:hAnsi="Cambria" w:cs="Cambria"/>
                <w:b/>
                <w:color w:val="000000"/>
                <w:sz w:val="20"/>
                <w:szCs w:val="20"/>
              </w:rPr>
            </w:pPr>
            <w:r>
              <w:rPr>
                <w:rFonts w:ascii="Cambria" w:eastAsia="Cambria" w:hAnsi="Cambria" w:cs="Cambria"/>
                <w:b/>
                <w:color w:val="000000"/>
                <w:sz w:val="20"/>
                <w:szCs w:val="20"/>
              </w:rPr>
              <w:t>Propozycja odniesienia do poziomu sektorowych ram kwalifikacji (o ile dotyczy)</w:t>
            </w:r>
          </w:p>
          <w:p w14:paraId="43E2AAD5" w14:textId="77777777" w:rsidR="00940F31" w:rsidRDefault="00620AE2">
            <w:pPr>
              <w:pBdr>
                <w:top w:val="nil"/>
                <w:left w:val="nil"/>
                <w:bottom w:val="nil"/>
                <w:right w:val="nil"/>
                <w:between w:val="nil"/>
              </w:pBdr>
              <w:spacing w:before="159" w:line="273" w:lineRule="auto"/>
              <w:ind w:left="110" w:right="90"/>
              <w:jc w:val="both"/>
              <w:rPr>
                <w:rFonts w:ascii="Cambria" w:eastAsia="Cambria" w:hAnsi="Cambria" w:cs="Cambria"/>
                <w:i/>
                <w:color w:val="000000"/>
                <w:sz w:val="20"/>
                <w:szCs w:val="20"/>
              </w:rPr>
            </w:pPr>
            <w:r>
              <w:rPr>
                <w:rFonts w:ascii="Cambria" w:eastAsia="Cambria" w:hAnsi="Cambria" w:cs="Cambria"/>
                <w:i/>
                <w:color w:val="000000"/>
                <w:sz w:val="20"/>
                <w:szCs w:val="20"/>
              </w:rPr>
              <w:t>Jeśli ustanowiono w danym sektorze lub branży Sektorową Ramę Kwalifikacji, to wypełnienie tego pola jest obowiązkowe (art. 15 ust. 1 pkt 4). Podaj propozycję odniesienia do poziomu odpowiednich Sektorowych Ram Kwalifikacji, jeśli są one włączone do ZSK.</w:t>
            </w:r>
          </w:p>
        </w:tc>
      </w:tr>
      <w:tr w:rsidR="00940F31" w14:paraId="6C8A2395" w14:textId="77777777">
        <w:trPr>
          <w:trHeight w:val="540"/>
        </w:trPr>
        <w:tc>
          <w:tcPr>
            <w:tcW w:w="9286" w:type="dxa"/>
          </w:tcPr>
          <w:p w14:paraId="1BF04B6C" w14:textId="77777777" w:rsidR="00940F31" w:rsidRDefault="00620AE2">
            <w:pPr>
              <w:pBdr>
                <w:top w:val="nil"/>
                <w:left w:val="nil"/>
                <w:bottom w:val="nil"/>
                <w:right w:val="nil"/>
                <w:between w:val="nil"/>
              </w:pBdr>
              <w:spacing w:before="119"/>
              <w:ind w:left="110" w:hanging="110"/>
              <w:rPr>
                <w:rFonts w:ascii="Cambria" w:eastAsia="Cambria" w:hAnsi="Cambria" w:cs="Cambria"/>
                <w:color w:val="000000"/>
                <w:sz w:val="20"/>
                <w:szCs w:val="20"/>
              </w:rPr>
            </w:pPr>
            <w:r>
              <w:rPr>
                <w:rFonts w:ascii="Cambria" w:eastAsia="Cambria" w:hAnsi="Cambria" w:cs="Cambria"/>
                <w:color w:val="000000"/>
                <w:sz w:val="20"/>
                <w:szCs w:val="20"/>
              </w:rPr>
              <w:t>Nie dotyczy</w:t>
            </w:r>
          </w:p>
        </w:tc>
      </w:tr>
      <w:tr w:rsidR="00940F31" w14:paraId="06658068" w14:textId="77777777">
        <w:trPr>
          <w:trHeight w:val="3500"/>
        </w:trPr>
        <w:tc>
          <w:tcPr>
            <w:tcW w:w="9286" w:type="dxa"/>
            <w:shd w:val="clear" w:color="auto" w:fill="F2F2F2"/>
          </w:tcPr>
          <w:p w14:paraId="0A83F18F"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Syntetyczna charakterystyka efektów uczenia się</w:t>
            </w:r>
          </w:p>
          <w:p w14:paraId="02D6BA1E" w14:textId="77777777" w:rsidR="00940F31" w:rsidRDefault="00620AE2">
            <w:pPr>
              <w:pBdr>
                <w:top w:val="nil"/>
                <w:left w:val="nil"/>
                <w:bottom w:val="nil"/>
                <w:right w:val="nil"/>
                <w:between w:val="nil"/>
              </w:pBdr>
              <w:spacing w:before="158" w:line="273" w:lineRule="auto"/>
              <w:ind w:left="110" w:right="91" w:hanging="110"/>
              <w:jc w:val="both"/>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3) oraz art. 9 ust. 1 pkt 1) lit. a). Zwięzła, ogólna charakterystyka wiedzy, umiejętności i kompetencji społecznych poprzez określenie działań, do których podjęcia będzie przygotowana osoba posiadająca daną kwalifikację.</w:t>
            </w:r>
          </w:p>
          <w:p w14:paraId="02AEC919" w14:textId="77777777" w:rsidR="00940F31" w:rsidRDefault="00620AE2">
            <w:pPr>
              <w:pBdr>
                <w:top w:val="nil"/>
                <w:left w:val="nil"/>
                <w:bottom w:val="nil"/>
                <w:right w:val="nil"/>
                <w:between w:val="nil"/>
              </w:pBdr>
              <w:spacing w:before="116" w:line="273" w:lineRule="auto"/>
              <w:ind w:left="110" w:right="89" w:hanging="110"/>
              <w:jc w:val="both"/>
              <w:rPr>
                <w:rFonts w:ascii="Cambria" w:eastAsia="Cambria" w:hAnsi="Cambria" w:cs="Cambria"/>
                <w:i/>
                <w:color w:val="000000"/>
                <w:sz w:val="20"/>
                <w:szCs w:val="20"/>
              </w:rPr>
            </w:pPr>
            <w:r>
              <w:rPr>
                <w:rFonts w:ascii="Cambria" w:eastAsia="Cambria" w:hAnsi="Cambria" w:cs="Cambria"/>
                <w:i/>
                <w:color w:val="000000"/>
                <w:sz w:val="20"/>
                <w:szCs w:val="20"/>
              </w:rPr>
              <w:t>Syntetyczna charakterystyka efektów uczenia się powinna nawiązywać do charakterystyki odpowiedniego poziomu PRK, w szczególności odpowiadać na pytania o przygotowanie osoby posiadającej kwalifikację do samodzielnego działania w warunkach mniej lub bardziej przewidywalnych, wykonywania działania o różnym poziomie złożoności, podejmowania określonych ról w grupie, ponoszenia odpowiedzialności za jakość i skutki działań (własnych lub kierowanego zespołu).</w:t>
            </w:r>
          </w:p>
        </w:tc>
      </w:tr>
      <w:tr w:rsidR="00940F31" w14:paraId="6819C026" w14:textId="77777777">
        <w:trPr>
          <w:trHeight w:val="4220"/>
        </w:trPr>
        <w:tc>
          <w:tcPr>
            <w:tcW w:w="9286" w:type="dxa"/>
          </w:tcPr>
          <w:p w14:paraId="5DBC2ADE" w14:textId="77777777" w:rsidR="00643E6A" w:rsidRPr="00643E6A" w:rsidRDefault="00643E6A" w:rsidP="00643E6A">
            <w:pPr>
              <w:jc w:val="both"/>
              <w:rPr>
                <w:rFonts w:ascii="Cambria" w:eastAsia="Cambria" w:hAnsi="Cambria" w:cs="Cambria"/>
                <w:color w:val="000000"/>
                <w:sz w:val="20"/>
                <w:szCs w:val="20"/>
              </w:rPr>
            </w:pPr>
            <w:r w:rsidRPr="00643E6A">
              <w:rPr>
                <w:rFonts w:ascii="Cambria" w:eastAsia="Cambria" w:hAnsi="Cambria" w:cs="Cambria"/>
                <w:color w:val="000000"/>
                <w:sz w:val="20"/>
                <w:szCs w:val="20"/>
              </w:rPr>
              <w:lastRenderedPageBreak/>
              <w:t xml:space="preserve">Osoba posiadająca kwalifikację „Wdrażanie działań profilaktycznych i pomocowych ukierunkowanych na problem nienormatywnej masy ciała i zaburzeń odżywiania” rozpoznaje problemy dotyczące masy ciała, stanu odżywienia, sposobu żywienia i aktywności fizycznej oraz ich uwarunkowania i konsekwencje. Posługuje się wiedzą na temat kryteriów diagnostyczne i symptomów nienormatywnej masy ciała i zaburzeń odżywiania, ich biologicznego, psychologicznego i społecznego  podłoża oraz następstw dla zdrowia somatycznego i psychicznego. Wdraża działania profilaktyczne i pomocowe skierowane do osób z nienormatywną masą ciała i zaburzeniami odżywiania lub zagrożonych takimi problemami realizując w ten sposób tak zwane wczesne interwencje, poprzedzające specjalistyczną pomoc, jak również uzupełniające taką pomoc. Wykorzystuje techniki wspierające zmianę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istotnych dla masy ciała (tj. odżywiania i aktywności fizycznej) oraz  dostarcza wsparcia osobom z nienormatywną masą ciała i zaburzeniami odżywiania. W swoich działaniach bazuje na edukacji, motywowaniu i wspieraniu ich w korzystaniu z metod samopomocowych oraz informowaniu o dostępnych opcjach specjalistycznego leczenia i wspierania tego leczenia. </w:t>
            </w:r>
          </w:p>
          <w:p w14:paraId="3726D72E" w14:textId="16C57505" w:rsidR="00940F31" w:rsidRDefault="00643E6A" w:rsidP="00643E6A">
            <w:pPr>
              <w:jc w:val="both"/>
              <w:rPr>
                <w:rFonts w:ascii="Cambria" w:eastAsia="Cambria" w:hAnsi="Cambria" w:cs="Cambria"/>
                <w:sz w:val="20"/>
                <w:szCs w:val="20"/>
              </w:rPr>
            </w:pPr>
            <w:r w:rsidRPr="00643E6A">
              <w:rPr>
                <w:rFonts w:ascii="Cambria" w:eastAsia="Cambria" w:hAnsi="Cambria" w:cs="Cambria"/>
                <w:color w:val="000000"/>
                <w:sz w:val="20"/>
                <w:szCs w:val="20"/>
              </w:rPr>
              <w:t>Osoba posiadająca tę kwalifikację wykorzystuje metody o udowodnionej naukowo skuteczności oraz dokłada starań, aby upowszechniać najnowszą wiedzę i przeciwdziałać błędnym przekonaniom dotyczącym odżywiania i zdrowego stylu życia. Wykorzystanie umiejętności z zakresu tej kwalifikacji przez szerokie grono pracowników placówek oświatowych pozwoli na podniesienie jakości profilaktyki i pomocy oferowanej w tych miejscach osobom z nienormatywną masą ciała i zaburzeniami odżywiania  lub zagrożonych tymi problemami.</w:t>
            </w:r>
          </w:p>
        </w:tc>
      </w:tr>
      <w:tr w:rsidR="00940F31" w14:paraId="1622AA88" w14:textId="77777777">
        <w:trPr>
          <w:trHeight w:val="1980"/>
        </w:trPr>
        <w:tc>
          <w:tcPr>
            <w:tcW w:w="9286" w:type="dxa"/>
            <w:shd w:val="clear" w:color="auto" w:fill="F2F2F2"/>
          </w:tcPr>
          <w:p w14:paraId="3EED53BD" w14:textId="77777777" w:rsidR="00940F31" w:rsidRDefault="00620AE2">
            <w:pPr>
              <w:pBdr>
                <w:top w:val="nil"/>
                <w:left w:val="nil"/>
                <w:bottom w:val="nil"/>
                <w:right w:val="nil"/>
                <w:between w:val="nil"/>
              </w:pBdr>
              <w:spacing w:before="113"/>
              <w:ind w:left="110" w:hanging="110"/>
              <w:rPr>
                <w:rFonts w:ascii="Cambria" w:eastAsia="Cambria" w:hAnsi="Cambria" w:cs="Cambria"/>
                <w:b/>
                <w:color w:val="000000"/>
                <w:sz w:val="20"/>
                <w:szCs w:val="20"/>
              </w:rPr>
            </w:pPr>
            <w:r>
              <w:rPr>
                <w:rFonts w:ascii="Cambria" w:eastAsia="Cambria" w:hAnsi="Cambria" w:cs="Cambria"/>
                <w:b/>
                <w:color w:val="000000"/>
                <w:sz w:val="20"/>
                <w:szCs w:val="20"/>
              </w:rPr>
              <w:t>Wyodrębnione zestawy efektów uczenia się</w:t>
            </w:r>
          </w:p>
          <w:p w14:paraId="31B23CA6" w14:textId="77777777" w:rsidR="00940F31" w:rsidRDefault="00620AE2">
            <w:pPr>
              <w:pBdr>
                <w:top w:val="nil"/>
                <w:left w:val="nil"/>
                <w:bottom w:val="nil"/>
                <w:right w:val="nil"/>
                <w:between w:val="nil"/>
              </w:pBdr>
              <w:spacing w:before="156" w:line="273" w:lineRule="auto"/>
              <w:ind w:left="110" w:hanging="110"/>
              <w:rPr>
                <w:rFonts w:ascii="Cambria" w:eastAsia="Cambria" w:hAnsi="Cambria" w:cs="Cambria"/>
                <w:i/>
                <w:color w:val="000000"/>
                <w:sz w:val="20"/>
                <w:szCs w:val="20"/>
              </w:rPr>
            </w:pPr>
            <w:bookmarkStart w:id="0" w:name="_3znysh7" w:colFirst="0" w:colLast="0"/>
            <w:bookmarkEnd w:id="0"/>
            <w:r>
              <w:rPr>
                <w:rFonts w:ascii="Cambria" w:eastAsia="Cambria" w:hAnsi="Cambria" w:cs="Cambria"/>
                <w:i/>
                <w:color w:val="000000"/>
                <w:sz w:val="20"/>
                <w:szCs w:val="20"/>
              </w:rPr>
              <w:t>Wykaz zestawów efektów uczenia się wymaganych dla kwalifikacji, zawierający: numer porządkowy (1, 2, …), nazwy zestawów, orientacyjne odniesienie każdego zestawu do poziomu PRK oraz orientacyjny nakład pracy potrzebny do osiągnięcia efektów uczenia w każdym zestawie.</w:t>
            </w:r>
          </w:p>
          <w:p w14:paraId="1DCD6E9E" w14:textId="77777777" w:rsidR="00940F31" w:rsidRDefault="00620AE2">
            <w:pPr>
              <w:numPr>
                <w:ilvl w:val="0"/>
                <w:numId w:val="6"/>
              </w:numPr>
              <w:pBdr>
                <w:top w:val="nil"/>
                <w:left w:val="nil"/>
                <w:bottom w:val="nil"/>
                <w:right w:val="nil"/>
                <w:between w:val="nil"/>
              </w:pBdr>
              <w:tabs>
                <w:tab w:val="left" w:pos="830"/>
                <w:tab w:val="left" w:pos="831"/>
              </w:tabs>
              <w:spacing w:line="271" w:lineRule="auto"/>
              <w:ind w:right="152"/>
              <w:rPr>
                <w:i/>
                <w:color w:val="000000"/>
              </w:rPr>
            </w:pPr>
            <w:r>
              <w:rPr>
                <w:rFonts w:ascii="Cambria" w:eastAsia="Cambria" w:hAnsi="Cambria" w:cs="Cambria"/>
                <w:i/>
                <w:color w:val="000000"/>
                <w:sz w:val="20"/>
                <w:szCs w:val="20"/>
              </w:rPr>
              <w:t xml:space="preserve">Nazwa zestawu powinna: </w:t>
            </w:r>
          </w:p>
          <w:p w14:paraId="6D1973B8" w14:textId="77777777" w:rsidR="00940F31" w:rsidRDefault="00620AE2">
            <w:pPr>
              <w:numPr>
                <w:ilvl w:val="0"/>
                <w:numId w:val="6"/>
              </w:numPr>
              <w:pBdr>
                <w:top w:val="nil"/>
                <w:left w:val="nil"/>
                <w:bottom w:val="nil"/>
                <w:right w:val="nil"/>
                <w:between w:val="nil"/>
              </w:pBdr>
              <w:tabs>
                <w:tab w:val="left" w:pos="830"/>
                <w:tab w:val="left" w:pos="831"/>
              </w:tabs>
              <w:spacing w:line="271" w:lineRule="auto"/>
              <w:ind w:right="152"/>
              <w:rPr>
                <w:i/>
                <w:color w:val="000000"/>
              </w:rPr>
            </w:pPr>
            <w:r>
              <w:rPr>
                <w:rFonts w:ascii="Cambria" w:eastAsia="Cambria" w:hAnsi="Cambria" w:cs="Cambria"/>
                <w:i/>
                <w:color w:val="000000"/>
                <w:sz w:val="20"/>
                <w:szCs w:val="20"/>
              </w:rPr>
              <w:t>nawiązywać do efektów uczenia się wchodzących w skład danego zestawu lub odpowiadać specyfice wchodzących w jego skład efektów uczenia się,</w:t>
            </w:r>
          </w:p>
          <w:p w14:paraId="04794F43" w14:textId="77777777" w:rsidR="00940F31" w:rsidRDefault="00620AE2">
            <w:pPr>
              <w:numPr>
                <w:ilvl w:val="0"/>
                <w:numId w:val="6"/>
              </w:numPr>
              <w:pBdr>
                <w:top w:val="nil"/>
                <w:left w:val="nil"/>
                <w:bottom w:val="nil"/>
                <w:right w:val="nil"/>
                <w:between w:val="nil"/>
              </w:pBdr>
              <w:tabs>
                <w:tab w:val="left" w:pos="830"/>
                <w:tab w:val="left" w:pos="831"/>
              </w:tabs>
              <w:spacing w:before="120"/>
              <w:rPr>
                <w:i/>
                <w:color w:val="000000"/>
              </w:rPr>
            </w:pPr>
            <w:r>
              <w:rPr>
                <w:rFonts w:ascii="Cambria" w:eastAsia="Cambria" w:hAnsi="Cambria" w:cs="Cambria"/>
                <w:i/>
                <w:color w:val="000000"/>
                <w:sz w:val="20"/>
                <w:szCs w:val="20"/>
              </w:rPr>
              <w:t>być możliwie krótka,</w:t>
            </w:r>
          </w:p>
          <w:p w14:paraId="3CE262BB" w14:textId="77777777" w:rsidR="00940F31" w:rsidRDefault="00620AE2">
            <w:pPr>
              <w:numPr>
                <w:ilvl w:val="0"/>
                <w:numId w:val="6"/>
              </w:numPr>
              <w:pBdr>
                <w:top w:val="nil"/>
                <w:left w:val="nil"/>
                <w:bottom w:val="nil"/>
                <w:right w:val="nil"/>
                <w:between w:val="nil"/>
              </w:pBdr>
              <w:tabs>
                <w:tab w:val="left" w:pos="830"/>
                <w:tab w:val="left" w:pos="831"/>
              </w:tabs>
              <w:spacing w:before="155"/>
              <w:rPr>
                <w:i/>
                <w:color w:val="000000"/>
              </w:rPr>
            </w:pPr>
            <w:r>
              <w:rPr>
                <w:rFonts w:ascii="Cambria" w:eastAsia="Cambria" w:hAnsi="Cambria" w:cs="Cambria"/>
                <w:i/>
                <w:color w:val="000000"/>
                <w:sz w:val="20"/>
                <w:szCs w:val="20"/>
              </w:rPr>
              <w:t>nie zawierać skrótów,</w:t>
            </w:r>
          </w:p>
          <w:p w14:paraId="53F26BE9" w14:textId="77777777" w:rsidR="00940F31" w:rsidRDefault="00620AE2">
            <w:pPr>
              <w:numPr>
                <w:ilvl w:val="0"/>
                <w:numId w:val="6"/>
              </w:numPr>
              <w:pBdr>
                <w:top w:val="nil"/>
                <w:left w:val="nil"/>
                <w:bottom w:val="nil"/>
                <w:right w:val="nil"/>
                <w:between w:val="nil"/>
              </w:pBdr>
              <w:tabs>
                <w:tab w:val="left" w:pos="830"/>
                <w:tab w:val="left" w:pos="831"/>
              </w:tabs>
              <w:spacing w:before="155"/>
              <w:rPr>
                <w:i/>
                <w:color w:val="000000"/>
              </w:rPr>
            </w:pPr>
            <w:r>
              <w:rPr>
                <w:rFonts w:ascii="Cambria" w:eastAsia="Cambria" w:hAnsi="Cambria" w:cs="Cambria"/>
                <w:i/>
                <w:color w:val="000000"/>
                <w:sz w:val="20"/>
                <w:szCs w:val="20"/>
              </w:rPr>
              <w:t>gdy jest to możliwe, być oparta na rzeczowniku odczasownikowym, np. „gromadzenie”, „przechowywanie”, „szycie”.</w:t>
            </w:r>
          </w:p>
        </w:tc>
      </w:tr>
    </w:tbl>
    <w:p w14:paraId="4AF4D190" w14:textId="77777777" w:rsidR="00940F31" w:rsidRDefault="00940F31">
      <w:pPr>
        <w:pBdr>
          <w:top w:val="nil"/>
          <w:left w:val="nil"/>
          <w:bottom w:val="nil"/>
          <w:right w:val="nil"/>
          <w:between w:val="nil"/>
        </w:pBdr>
        <w:spacing w:line="276" w:lineRule="auto"/>
        <w:rPr>
          <w:rFonts w:ascii="Cambria" w:eastAsia="Cambria" w:hAnsi="Cambria" w:cs="Cambria"/>
          <w:i/>
          <w:color w:val="000000"/>
          <w:sz w:val="20"/>
          <w:szCs w:val="20"/>
        </w:rPr>
      </w:pPr>
    </w:p>
    <w:tbl>
      <w:tblPr>
        <w:tblStyle w:val="a5"/>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7366"/>
      </w:tblGrid>
      <w:tr w:rsidR="00940F31" w14:paraId="04FC596E" w14:textId="77777777">
        <w:trPr>
          <w:trHeight w:val="1380"/>
        </w:trPr>
        <w:tc>
          <w:tcPr>
            <w:tcW w:w="9286" w:type="dxa"/>
            <w:gridSpan w:val="2"/>
          </w:tcPr>
          <w:p w14:paraId="594DCC2F" w14:textId="77777777" w:rsidR="00643E6A" w:rsidRPr="00643E6A" w:rsidRDefault="00643E6A" w:rsidP="00643E6A">
            <w:pPr>
              <w:numPr>
                <w:ilvl w:val="0"/>
                <w:numId w:val="7"/>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Rozpoznawanie problemów dotyczących masy ciała, stanu odżywienia, sposobu żywienia i aktywności fizycznej - 50 godzin, 6 PRK</w:t>
            </w:r>
          </w:p>
          <w:p w14:paraId="189F136C" w14:textId="77777777" w:rsidR="00643E6A" w:rsidRPr="00643E6A" w:rsidRDefault="00643E6A" w:rsidP="00643E6A">
            <w:pPr>
              <w:numPr>
                <w:ilvl w:val="0"/>
                <w:numId w:val="7"/>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Posługiwanie się wiedzą o uwarunkowaniach i konsekwencjach problemów dotyczących masy ciała, stanu odżywienia, sposobu żywienia i aktywności fizycznej - 150 godzin, 6 PRK</w:t>
            </w:r>
          </w:p>
          <w:p w14:paraId="29B8E2BD" w14:textId="77777777" w:rsidR="00643E6A" w:rsidRPr="00643E6A" w:rsidRDefault="00643E6A" w:rsidP="00643E6A">
            <w:pPr>
              <w:numPr>
                <w:ilvl w:val="0"/>
                <w:numId w:val="7"/>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Prowadzenie edukacji na temat żywienia i aktywności fizycznej - 100 godzin, 6 PRK</w:t>
            </w:r>
          </w:p>
          <w:p w14:paraId="34DF3198" w14:textId="77777777" w:rsidR="00643E6A" w:rsidRPr="00643E6A" w:rsidRDefault="00643E6A" w:rsidP="00643E6A">
            <w:pPr>
              <w:numPr>
                <w:ilvl w:val="0"/>
                <w:numId w:val="7"/>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Planowanie i wdrażanie działań  profilaktycznych i pomocowych (tzw. wczesnych interwencji) względem osób z nienormatywną masą ciała i zaburzeniami odżywiania lub zagrożonych tymi problemami - 250 godzin, 6 PRK</w:t>
            </w:r>
          </w:p>
          <w:p w14:paraId="259F2D56" w14:textId="77777777" w:rsidR="009B6F51" w:rsidRPr="009B6F51" w:rsidRDefault="009B6F51" w:rsidP="00F025A4">
            <w:pPr>
              <w:pBdr>
                <w:top w:val="nil"/>
                <w:left w:val="nil"/>
                <w:bottom w:val="nil"/>
                <w:right w:val="nil"/>
                <w:between w:val="nil"/>
              </w:pBdr>
              <w:ind w:left="720"/>
              <w:rPr>
                <w:rFonts w:ascii="Cambria" w:eastAsia="Cambria" w:hAnsi="Cambria" w:cs="Cambria"/>
                <w:color w:val="000000"/>
                <w:sz w:val="20"/>
                <w:szCs w:val="20"/>
              </w:rPr>
            </w:pPr>
          </w:p>
          <w:p w14:paraId="6B144DDF" w14:textId="77777777" w:rsidR="00940F31" w:rsidRDefault="00940F31" w:rsidP="00F025A4">
            <w:pPr>
              <w:pBdr>
                <w:top w:val="nil"/>
                <w:left w:val="nil"/>
                <w:bottom w:val="nil"/>
                <w:right w:val="nil"/>
                <w:between w:val="nil"/>
              </w:pBdr>
              <w:rPr>
                <w:rFonts w:ascii="Cambria" w:eastAsia="Cambria" w:hAnsi="Cambria" w:cs="Cambria"/>
                <w:color w:val="000000"/>
                <w:sz w:val="20"/>
                <w:szCs w:val="20"/>
              </w:rPr>
            </w:pPr>
          </w:p>
        </w:tc>
      </w:tr>
      <w:tr w:rsidR="00940F31" w14:paraId="2FF18F9F" w14:textId="77777777">
        <w:trPr>
          <w:trHeight w:val="5860"/>
        </w:trPr>
        <w:tc>
          <w:tcPr>
            <w:tcW w:w="9286" w:type="dxa"/>
            <w:gridSpan w:val="2"/>
            <w:shd w:val="clear" w:color="auto" w:fill="F2F2F2"/>
          </w:tcPr>
          <w:p w14:paraId="5FFF7659"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lastRenderedPageBreak/>
              <w:t>Poszczególne efekty uczenia się w zestawach</w:t>
            </w:r>
          </w:p>
          <w:p w14:paraId="666C26AC" w14:textId="77777777" w:rsidR="00940F31" w:rsidRDefault="00620AE2">
            <w:pPr>
              <w:pBdr>
                <w:top w:val="nil"/>
                <w:left w:val="nil"/>
                <w:bottom w:val="nil"/>
                <w:right w:val="nil"/>
                <w:between w:val="nil"/>
              </w:pBdr>
              <w:spacing w:before="156"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Zestaw efektów uczenia się to wyodrębniona część efektów uczenia się wymaganych dla danej kwalifikacji. Poszczególne efekty uczenia się powinny być wzajemnie ze sobą powiązane, uzupełniające się oraz przedstawione w sposób uporządkowany (np. od prostych do bardziej złożonych).</w:t>
            </w:r>
          </w:p>
          <w:p w14:paraId="5E14755D" w14:textId="77777777" w:rsidR="00940F31" w:rsidRDefault="00620AE2">
            <w:pPr>
              <w:pBdr>
                <w:top w:val="nil"/>
                <w:left w:val="nil"/>
                <w:bottom w:val="nil"/>
                <w:right w:val="nil"/>
                <w:between w:val="nil"/>
              </w:pBdr>
              <w:spacing w:before="115" w:line="273" w:lineRule="auto"/>
              <w:ind w:left="110" w:right="166" w:hanging="110"/>
              <w:jc w:val="both"/>
              <w:rPr>
                <w:rFonts w:ascii="Cambria" w:eastAsia="Cambria" w:hAnsi="Cambria" w:cs="Cambria"/>
                <w:i/>
                <w:color w:val="000000"/>
                <w:sz w:val="20"/>
                <w:szCs w:val="20"/>
              </w:rPr>
            </w:pPr>
            <w:r>
              <w:rPr>
                <w:rFonts w:ascii="Cambria" w:eastAsia="Cambria" w:hAnsi="Cambria" w:cs="Cambria"/>
                <w:i/>
                <w:color w:val="000000"/>
                <w:sz w:val="20"/>
                <w:szCs w:val="20"/>
              </w:rPr>
              <w:t>Poszczególne efekty uczenia się są opisywane za pomocą: umiejętności (tj. zdolności wykonywania zadań i rozwiązywania problemów) oraz kryteriów weryfikacji, które doprecyzowują ich zakres oraz określają niezbędną wiedzę i kompetencje społeczne.</w:t>
            </w:r>
          </w:p>
          <w:p w14:paraId="51E76BAB"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Poszczególne efekty uczenia się powinny być:</w:t>
            </w:r>
          </w:p>
          <w:p w14:paraId="361A54C4" w14:textId="77777777" w:rsidR="00940F31" w:rsidRDefault="00620AE2">
            <w:pPr>
              <w:numPr>
                <w:ilvl w:val="0"/>
                <w:numId w:val="14"/>
              </w:numPr>
              <w:pBdr>
                <w:top w:val="nil"/>
                <w:left w:val="nil"/>
                <w:bottom w:val="nil"/>
                <w:right w:val="nil"/>
                <w:between w:val="nil"/>
              </w:pBdr>
              <w:tabs>
                <w:tab w:val="left" w:pos="829"/>
                <w:tab w:val="left" w:pos="831"/>
              </w:tabs>
              <w:spacing w:before="155" w:line="271" w:lineRule="auto"/>
              <w:ind w:right="286"/>
              <w:rPr>
                <w:i/>
                <w:color w:val="000000"/>
              </w:rPr>
            </w:pPr>
            <w:r>
              <w:rPr>
                <w:rFonts w:ascii="Cambria" w:eastAsia="Cambria" w:hAnsi="Cambria" w:cs="Cambria"/>
                <w:i/>
                <w:color w:val="000000"/>
                <w:sz w:val="20"/>
                <w:szCs w:val="20"/>
              </w:rPr>
              <w:t>jednoznaczne – niebudzące wątpliwości, pozwalające na zaplanowanie i przeprowadzenie walidacji, których wyniki będą porównywalne, oraz dające możliwość odniesienia do poziomu PRK,</w:t>
            </w:r>
          </w:p>
          <w:p w14:paraId="2B32AE48" w14:textId="77777777" w:rsidR="00940F31" w:rsidRDefault="00620AE2">
            <w:pPr>
              <w:numPr>
                <w:ilvl w:val="0"/>
                <w:numId w:val="14"/>
              </w:numPr>
              <w:pBdr>
                <w:top w:val="nil"/>
                <w:left w:val="nil"/>
                <w:bottom w:val="nil"/>
                <w:right w:val="nil"/>
                <w:between w:val="nil"/>
              </w:pBdr>
              <w:tabs>
                <w:tab w:val="left" w:pos="830"/>
                <w:tab w:val="left" w:pos="831"/>
              </w:tabs>
              <w:spacing w:before="125" w:line="271" w:lineRule="auto"/>
              <w:ind w:right="1302"/>
              <w:rPr>
                <w:i/>
                <w:color w:val="000000"/>
              </w:rPr>
            </w:pPr>
            <w:r>
              <w:rPr>
                <w:rFonts w:ascii="Cambria" w:eastAsia="Cambria" w:hAnsi="Cambria" w:cs="Cambria"/>
                <w:i/>
                <w:color w:val="000000"/>
                <w:sz w:val="20"/>
                <w:szCs w:val="20"/>
              </w:rPr>
              <w:t>realne – możliwe do osiągniecia przez osoby, dla których dana kwalifikacja jest przewidziana,</w:t>
            </w:r>
          </w:p>
          <w:p w14:paraId="5254DA25" w14:textId="77777777" w:rsidR="00940F31" w:rsidRDefault="00620AE2">
            <w:pPr>
              <w:numPr>
                <w:ilvl w:val="0"/>
                <w:numId w:val="14"/>
              </w:numPr>
              <w:pBdr>
                <w:top w:val="nil"/>
                <w:left w:val="nil"/>
                <w:bottom w:val="nil"/>
                <w:right w:val="nil"/>
                <w:between w:val="nil"/>
              </w:pBdr>
              <w:tabs>
                <w:tab w:val="left" w:pos="830"/>
                <w:tab w:val="left" w:pos="831"/>
              </w:tabs>
              <w:spacing w:before="122"/>
              <w:rPr>
                <w:i/>
                <w:color w:val="000000"/>
              </w:rPr>
            </w:pPr>
            <w:r>
              <w:rPr>
                <w:rFonts w:ascii="Cambria" w:eastAsia="Cambria" w:hAnsi="Cambria" w:cs="Cambria"/>
                <w:i/>
                <w:color w:val="000000"/>
                <w:sz w:val="20"/>
                <w:szCs w:val="20"/>
              </w:rPr>
              <w:t>możliwe do zweryfikowania podczas walidacji,</w:t>
            </w:r>
          </w:p>
          <w:p w14:paraId="1C419D0D" w14:textId="77777777" w:rsidR="00940F31" w:rsidRDefault="00620AE2">
            <w:pPr>
              <w:numPr>
                <w:ilvl w:val="0"/>
                <w:numId w:val="14"/>
              </w:numPr>
              <w:pBdr>
                <w:top w:val="nil"/>
                <w:left w:val="nil"/>
                <w:bottom w:val="nil"/>
                <w:right w:val="nil"/>
                <w:between w:val="nil"/>
              </w:pBdr>
              <w:tabs>
                <w:tab w:val="left" w:pos="829"/>
                <w:tab w:val="left" w:pos="831"/>
              </w:tabs>
              <w:spacing w:before="155"/>
              <w:rPr>
                <w:i/>
                <w:color w:val="000000"/>
              </w:rPr>
            </w:pPr>
            <w:r>
              <w:rPr>
                <w:rFonts w:ascii="Cambria" w:eastAsia="Cambria" w:hAnsi="Cambria" w:cs="Cambria"/>
                <w:i/>
                <w:color w:val="000000"/>
                <w:sz w:val="20"/>
                <w:szCs w:val="20"/>
              </w:rPr>
              <w:t>zrozumiałe dla osób potencjalnie zainteresowanych kwalifikacją.</w:t>
            </w:r>
          </w:p>
          <w:p w14:paraId="1C32CCDF" w14:textId="77777777" w:rsidR="00940F31" w:rsidRDefault="00620AE2">
            <w:pPr>
              <w:pBdr>
                <w:top w:val="nil"/>
                <w:left w:val="nil"/>
                <w:bottom w:val="nil"/>
                <w:right w:val="nil"/>
                <w:between w:val="nil"/>
              </w:pBdr>
              <w:spacing w:before="157" w:line="271"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Podczas opisywania poszczególnych efektów uczenia się korzystne jest stosowanie czasowników operacyjnych (np. „rozróżnia”, „uzasadnia”, „montuje”).</w:t>
            </w:r>
          </w:p>
          <w:p w14:paraId="63EA55FC" w14:textId="77777777" w:rsidR="00940F31" w:rsidRDefault="00940F31">
            <w:pPr>
              <w:rPr>
                <w:rFonts w:ascii="Cambria" w:eastAsia="Cambria" w:hAnsi="Cambria" w:cs="Cambria"/>
                <w:i/>
                <w:color w:val="000000"/>
                <w:sz w:val="20"/>
                <w:szCs w:val="20"/>
              </w:rPr>
            </w:pPr>
          </w:p>
        </w:tc>
      </w:tr>
      <w:tr w:rsidR="00940F31" w14:paraId="36CB1A2C" w14:textId="77777777">
        <w:trPr>
          <w:trHeight w:val="840"/>
        </w:trPr>
        <w:tc>
          <w:tcPr>
            <w:tcW w:w="1920" w:type="dxa"/>
            <w:shd w:val="clear" w:color="auto" w:fill="F2F2F2"/>
          </w:tcPr>
          <w:p w14:paraId="611F8FE4" w14:textId="77777777" w:rsidR="00940F31" w:rsidRDefault="00620AE2">
            <w:pPr>
              <w:pBdr>
                <w:top w:val="nil"/>
                <w:left w:val="nil"/>
                <w:bottom w:val="nil"/>
                <w:right w:val="nil"/>
                <w:between w:val="nil"/>
              </w:pBdr>
              <w:spacing w:before="116" w:line="276" w:lineRule="auto"/>
              <w:ind w:left="110" w:right="191" w:hanging="110"/>
              <w:rPr>
                <w:rFonts w:ascii="Cambria" w:eastAsia="Cambria" w:hAnsi="Cambria" w:cs="Cambria"/>
                <w:b/>
                <w:color w:val="000000"/>
                <w:sz w:val="20"/>
                <w:szCs w:val="20"/>
              </w:rPr>
            </w:pPr>
            <w:bookmarkStart w:id="1" w:name="_2et92p0" w:colFirst="0" w:colLast="0"/>
            <w:bookmarkEnd w:id="1"/>
            <w:r>
              <w:rPr>
                <w:rFonts w:ascii="Cambria" w:eastAsia="Cambria" w:hAnsi="Cambria" w:cs="Cambria"/>
                <w:b/>
                <w:color w:val="000000"/>
                <w:sz w:val="20"/>
                <w:szCs w:val="20"/>
              </w:rPr>
              <w:t>Zestaw efektów uczenia się:</w:t>
            </w:r>
          </w:p>
        </w:tc>
        <w:tc>
          <w:tcPr>
            <w:tcW w:w="7366" w:type="dxa"/>
          </w:tcPr>
          <w:p w14:paraId="12E00276" w14:textId="706AD863" w:rsidR="00940F31" w:rsidRDefault="00643E6A">
            <w:pPr>
              <w:numPr>
                <w:ilvl w:val="0"/>
                <w:numId w:val="1"/>
              </w:numPr>
              <w:pBdr>
                <w:top w:val="nil"/>
                <w:left w:val="nil"/>
                <w:bottom w:val="nil"/>
                <w:right w:val="nil"/>
                <w:between w:val="nil"/>
              </w:pBdr>
              <w:spacing w:before="116"/>
              <w:rPr>
                <w:rFonts w:ascii="Cambria" w:eastAsia="Cambria" w:hAnsi="Cambria" w:cs="Cambria"/>
                <w:color w:val="000000"/>
                <w:sz w:val="20"/>
                <w:szCs w:val="20"/>
              </w:rPr>
            </w:pPr>
            <w:r w:rsidRPr="00643E6A">
              <w:rPr>
                <w:rFonts w:ascii="Cambria" w:eastAsia="Cambria" w:hAnsi="Cambria" w:cs="Cambria"/>
                <w:color w:val="000000"/>
                <w:sz w:val="20"/>
                <w:szCs w:val="20"/>
              </w:rPr>
              <w:t>Rozpoznawanie problemów dotyczących masy ciała, stanu odżywienia, sposobu żywienia i aktywności fizycznej.</w:t>
            </w:r>
          </w:p>
        </w:tc>
      </w:tr>
      <w:tr w:rsidR="00940F31" w14:paraId="332C7371" w14:textId="77777777">
        <w:trPr>
          <w:trHeight w:val="540"/>
        </w:trPr>
        <w:tc>
          <w:tcPr>
            <w:tcW w:w="1920" w:type="dxa"/>
            <w:tcBorders>
              <w:bottom w:val="single" w:sz="4" w:space="0" w:color="000000"/>
            </w:tcBorders>
            <w:shd w:val="clear" w:color="auto" w:fill="F2F2F2"/>
          </w:tcPr>
          <w:p w14:paraId="28B7D165"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Umiejętności</w:t>
            </w:r>
          </w:p>
        </w:tc>
        <w:tc>
          <w:tcPr>
            <w:tcW w:w="7366" w:type="dxa"/>
            <w:tcBorders>
              <w:bottom w:val="single" w:sz="4" w:space="0" w:color="000000"/>
            </w:tcBorders>
            <w:shd w:val="clear" w:color="auto" w:fill="F2F2F2"/>
          </w:tcPr>
          <w:p w14:paraId="2EE8C724"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Kryteria weryfikacji</w:t>
            </w:r>
          </w:p>
        </w:tc>
      </w:tr>
      <w:tr w:rsidR="00940F31" w14:paraId="0A0421BB" w14:textId="77777777">
        <w:trPr>
          <w:trHeight w:val="540"/>
        </w:trPr>
        <w:tc>
          <w:tcPr>
            <w:tcW w:w="1920" w:type="dxa"/>
            <w:shd w:val="clear" w:color="auto" w:fill="FFFFFF"/>
          </w:tcPr>
          <w:p w14:paraId="4B5574D7"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Rozpoznaje problem nadwagi, otyłości i niedowagi</w:t>
            </w:r>
          </w:p>
        </w:tc>
        <w:tc>
          <w:tcPr>
            <w:tcW w:w="7366" w:type="dxa"/>
            <w:shd w:val="clear" w:color="auto" w:fill="FFFFFF"/>
          </w:tcPr>
          <w:p w14:paraId="51FC60BF" w14:textId="77777777" w:rsidR="00643E6A" w:rsidRPr="00643E6A" w:rsidRDefault="00643E6A" w:rsidP="00643E6A">
            <w:pPr>
              <w:numPr>
                <w:ilvl w:val="0"/>
                <w:numId w:val="11"/>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Wymienia kryteria diagnostyczne nadwagi, otyłości i niedowagi u dzieci i dorosłych;</w:t>
            </w:r>
          </w:p>
          <w:p w14:paraId="5A186CEE" w14:textId="77777777" w:rsidR="00643E6A" w:rsidRPr="00643E6A" w:rsidRDefault="00643E6A" w:rsidP="00643E6A">
            <w:pPr>
              <w:numPr>
                <w:ilvl w:val="0"/>
                <w:numId w:val="11"/>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Dobiera adekwatne do przypadku metody pomiaru w diagnozie nadwagi, otyłości, niedowagi;</w:t>
            </w:r>
          </w:p>
          <w:p w14:paraId="03C3CFB6" w14:textId="7617D5BA" w:rsidR="00940F31" w:rsidRDefault="00643E6A" w:rsidP="00643E6A">
            <w:pPr>
              <w:numPr>
                <w:ilvl w:val="0"/>
                <w:numId w:val="11"/>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Omawia zasady etycznego przekazywania informacji zwrotnej na temat występujących problemów nienormatywnej masy ciała.</w:t>
            </w:r>
          </w:p>
        </w:tc>
      </w:tr>
      <w:tr w:rsidR="00940F31" w14:paraId="195CF84B" w14:textId="77777777" w:rsidTr="00F025A4">
        <w:trPr>
          <w:trHeight w:val="540"/>
        </w:trPr>
        <w:tc>
          <w:tcPr>
            <w:tcW w:w="1920" w:type="dxa"/>
            <w:shd w:val="clear" w:color="auto" w:fill="FFFFFF"/>
          </w:tcPr>
          <w:p w14:paraId="5B8EC7A4"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Rozpoznaje nieprawidłowe nawyki żywieniowe</w:t>
            </w:r>
          </w:p>
        </w:tc>
        <w:tc>
          <w:tcPr>
            <w:tcW w:w="7366" w:type="dxa"/>
            <w:shd w:val="clear" w:color="auto" w:fill="auto"/>
          </w:tcPr>
          <w:p w14:paraId="54B7354A" w14:textId="77777777" w:rsidR="00643E6A" w:rsidRPr="00643E6A" w:rsidRDefault="00643E6A" w:rsidP="00643E6A">
            <w:pPr>
              <w:numPr>
                <w:ilvl w:val="0"/>
                <w:numId w:val="11"/>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Opisuje normy żywieniowe i zalecenia dietetyczne, mające zastosowanie w przeciwdziałaniu nadwadze i otyłości;</w:t>
            </w:r>
          </w:p>
          <w:p w14:paraId="1384491A" w14:textId="77777777" w:rsidR="00643E6A" w:rsidRPr="00643E6A" w:rsidRDefault="00643E6A" w:rsidP="00643E6A">
            <w:pPr>
              <w:numPr>
                <w:ilvl w:val="0"/>
                <w:numId w:val="11"/>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Wskazuje najczęściej popełniane błędy żywieniowe;</w:t>
            </w:r>
          </w:p>
          <w:p w14:paraId="5993E249" w14:textId="54F52F87" w:rsidR="00940F31" w:rsidRPr="00F025A4" w:rsidRDefault="00643E6A" w:rsidP="00643E6A">
            <w:pPr>
              <w:numPr>
                <w:ilvl w:val="0"/>
                <w:numId w:val="11"/>
              </w:numPr>
              <w:pBdr>
                <w:top w:val="nil"/>
                <w:left w:val="nil"/>
                <w:bottom w:val="nil"/>
                <w:right w:val="nil"/>
                <w:between w:val="nil"/>
              </w:pBdr>
              <w:spacing w:after="120"/>
              <w:rPr>
                <w:color w:val="000000"/>
                <w:sz w:val="20"/>
                <w:szCs w:val="20"/>
              </w:rPr>
            </w:pPr>
            <w:r w:rsidRPr="00643E6A">
              <w:rPr>
                <w:rFonts w:ascii="Cambria" w:eastAsia="Cambria" w:hAnsi="Cambria" w:cs="Cambria"/>
                <w:color w:val="000000"/>
                <w:sz w:val="20"/>
                <w:szCs w:val="20"/>
              </w:rPr>
              <w:t>Omawia ogólne zasady postępowania dietetycznego w normalizacji masy ciała w przypadku zaburzeń odżywiania.</w:t>
            </w:r>
          </w:p>
        </w:tc>
      </w:tr>
      <w:tr w:rsidR="00940F31" w14:paraId="5CD8734A" w14:textId="77777777">
        <w:trPr>
          <w:trHeight w:val="540"/>
        </w:trPr>
        <w:tc>
          <w:tcPr>
            <w:tcW w:w="1920" w:type="dxa"/>
            <w:shd w:val="clear" w:color="auto" w:fill="FFFFFF"/>
          </w:tcPr>
          <w:p w14:paraId="1EAE0CB2"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Rozpoznaje nieprawidłowości w zakresie podejmowanej aktywności człowieka</w:t>
            </w:r>
          </w:p>
        </w:tc>
        <w:tc>
          <w:tcPr>
            <w:tcW w:w="7366" w:type="dxa"/>
            <w:shd w:val="clear" w:color="auto" w:fill="FFFFFF"/>
          </w:tcPr>
          <w:p w14:paraId="1FF5C598" w14:textId="77777777" w:rsidR="00643E6A" w:rsidRPr="00643E6A" w:rsidRDefault="00643E6A" w:rsidP="00643E6A">
            <w:pPr>
              <w:numPr>
                <w:ilvl w:val="0"/>
                <w:numId w:val="20"/>
              </w:numPr>
              <w:pBdr>
                <w:between w:val="nil"/>
              </w:pBdr>
              <w:tabs>
                <w:tab w:val="left" w:pos="1190"/>
                <w:tab w:val="left" w:pos="1191"/>
              </w:tabs>
              <w:spacing w:after="120"/>
              <w:ind w:right="456" w:hanging="350"/>
              <w:rPr>
                <w:rFonts w:ascii="Cambria" w:eastAsia="Cambria" w:hAnsi="Cambria" w:cs="Cambria"/>
                <w:color w:val="000000"/>
                <w:sz w:val="20"/>
                <w:szCs w:val="20"/>
              </w:rPr>
            </w:pPr>
            <w:r w:rsidRPr="00643E6A">
              <w:rPr>
                <w:rFonts w:ascii="Cambria" w:eastAsia="Cambria" w:hAnsi="Cambria" w:cs="Cambria"/>
                <w:color w:val="000000"/>
                <w:sz w:val="20"/>
                <w:szCs w:val="20"/>
              </w:rPr>
              <w:t>Omawia ogólne zalecenia dotyczące podejmowania aktywności fizycznej oraz przeciwwskazania w tym zakresie;</w:t>
            </w:r>
          </w:p>
          <w:p w14:paraId="71AB89F5" w14:textId="32AA0BFF" w:rsidR="00940F31" w:rsidRPr="009B6F51" w:rsidRDefault="00643E6A" w:rsidP="00643E6A">
            <w:pPr>
              <w:numPr>
                <w:ilvl w:val="0"/>
                <w:numId w:val="20"/>
              </w:numPr>
              <w:pBdr>
                <w:between w:val="nil"/>
              </w:pBdr>
              <w:tabs>
                <w:tab w:val="left" w:pos="1190"/>
                <w:tab w:val="left" w:pos="1191"/>
              </w:tabs>
              <w:spacing w:after="120"/>
              <w:ind w:right="456" w:hanging="350"/>
              <w:rPr>
                <w:rFonts w:ascii="Cambria" w:eastAsia="Cambria" w:hAnsi="Cambria" w:cs="Cambria"/>
                <w:b/>
                <w:color w:val="000000"/>
                <w:sz w:val="20"/>
                <w:szCs w:val="20"/>
              </w:rPr>
            </w:pPr>
            <w:r w:rsidRPr="00643E6A">
              <w:rPr>
                <w:rFonts w:ascii="Cambria" w:eastAsia="Cambria" w:hAnsi="Cambria" w:cs="Cambria"/>
                <w:color w:val="000000"/>
                <w:sz w:val="20"/>
                <w:szCs w:val="20"/>
              </w:rPr>
              <w:t>Rozpoznaje sytuacje zbyt niskiej aktywności fizycznej oraz tzw. dysfunkcjonalnej aktywności fizycznej (najczęściej nadmiernej), spotykanej często u osób z zaburzeniami odżywiania.</w:t>
            </w:r>
          </w:p>
        </w:tc>
      </w:tr>
      <w:tr w:rsidR="00940F31" w14:paraId="0B6CABCE" w14:textId="77777777">
        <w:trPr>
          <w:trHeight w:val="540"/>
        </w:trPr>
        <w:tc>
          <w:tcPr>
            <w:tcW w:w="1920" w:type="dxa"/>
            <w:shd w:val="clear" w:color="auto" w:fill="FFFFFF"/>
          </w:tcPr>
          <w:p w14:paraId="76CBBE50"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Rozpoznaje symptomy zaburzeń odżywiania</w:t>
            </w:r>
          </w:p>
        </w:tc>
        <w:tc>
          <w:tcPr>
            <w:tcW w:w="7366" w:type="dxa"/>
            <w:shd w:val="clear" w:color="auto" w:fill="FFFFFF"/>
          </w:tcPr>
          <w:p w14:paraId="719BF5EE" w14:textId="77777777" w:rsidR="00643E6A" w:rsidRPr="00643E6A" w:rsidRDefault="00643E6A" w:rsidP="00643E6A">
            <w:pPr>
              <w:numPr>
                <w:ilvl w:val="0"/>
                <w:numId w:val="12"/>
              </w:numPr>
              <w:pBdr>
                <w:top w:val="nil"/>
                <w:left w:val="nil"/>
                <w:bottom w:val="nil"/>
                <w:right w:val="nil"/>
                <w:between w:val="nil"/>
              </w:pBdr>
              <w:spacing w:after="120"/>
              <w:rPr>
                <w:rFonts w:ascii="Cambria" w:eastAsia="Cambria" w:hAnsi="Cambria" w:cs="Cambria"/>
                <w:color w:val="000000"/>
                <w:sz w:val="20"/>
                <w:szCs w:val="20"/>
              </w:rPr>
            </w:pPr>
            <w:r w:rsidRPr="00643E6A">
              <w:rPr>
                <w:rFonts w:ascii="Cambria" w:eastAsia="Cambria" w:hAnsi="Cambria" w:cs="Cambria"/>
                <w:color w:val="000000"/>
                <w:sz w:val="20"/>
                <w:szCs w:val="20"/>
              </w:rPr>
              <w:t>Opisuje kryteria diagnostyczne i symptomy zaburzeń odżywiania;</w:t>
            </w:r>
          </w:p>
          <w:p w14:paraId="1AA6C8A9" w14:textId="0736A84C" w:rsidR="00940F31" w:rsidRDefault="00643E6A" w:rsidP="00643E6A">
            <w:pPr>
              <w:numPr>
                <w:ilvl w:val="0"/>
                <w:numId w:val="12"/>
              </w:numPr>
              <w:pBdr>
                <w:top w:val="nil"/>
                <w:left w:val="nil"/>
                <w:bottom w:val="nil"/>
                <w:right w:val="nil"/>
                <w:between w:val="nil"/>
              </w:pBdr>
              <w:spacing w:after="120"/>
              <w:rPr>
                <w:b/>
                <w:color w:val="000000"/>
                <w:sz w:val="20"/>
                <w:szCs w:val="20"/>
              </w:rPr>
            </w:pPr>
            <w:r w:rsidRPr="00643E6A">
              <w:rPr>
                <w:rFonts w:ascii="Cambria" w:eastAsia="Cambria" w:hAnsi="Cambria" w:cs="Cambria"/>
                <w:color w:val="000000"/>
                <w:sz w:val="20"/>
                <w:szCs w:val="20"/>
              </w:rPr>
              <w:t>Rozpoznaje występowanie symptomów zaburzeń odżywiania na podstawie analizy przypadku.</w:t>
            </w:r>
          </w:p>
        </w:tc>
      </w:tr>
      <w:tr w:rsidR="00940F31" w14:paraId="25B783D3" w14:textId="77777777">
        <w:trPr>
          <w:trHeight w:val="840"/>
        </w:trPr>
        <w:tc>
          <w:tcPr>
            <w:tcW w:w="1920" w:type="dxa"/>
            <w:shd w:val="clear" w:color="auto" w:fill="F2F2F2"/>
          </w:tcPr>
          <w:p w14:paraId="6307A37C" w14:textId="77777777" w:rsidR="00940F31" w:rsidRDefault="00620AE2">
            <w:pPr>
              <w:pBdr>
                <w:top w:val="nil"/>
                <w:left w:val="nil"/>
                <w:bottom w:val="nil"/>
                <w:right w:val="nil"/>
                <w:between w:val="nil"/>
              </w:pBdr>
              <w:spacing w:before="116" w:line="276" w:lineRule="auto"/>
              <w:ind w:left="110" w:right="191" w:hanging="110"/>
              <w:rPr>
                <w:rFonts w:ascii="Cambria" w:eastAsia="Cambria" w:hAnsi="Cambria" w:cs="Cambria"/>
                <w:b/>
                <w:color w:val="000000"/>
                <w:sz w:val="20"/>
                <w:szCs w:val="20"/>
              </w:rPr>
            </w:pPr>
            <w:r>
              <w:rPr>
                <w:rFonts w:ascii="Cambria" w:eastAsia="Cambria" w:hAnsi="Cambria" w:cs="Cambria"/>
                <w:b/>
                <w:color w:val="000000"/>
                <w:sz w:val="20"/>
                <w:szCs w:val="20"/>
              </w:rPr>
              <w:t>Zestaw efektów uczenia się:</w:t>
            </w:r>
          </w:p>
        </w:tc>
        <w:tc>
          <w:tcPr>
            <w:tcW w:w="7366" w:type="dxa"/>
          </w:tcPr>
          <w:p w14:paraId="3717C399" w14:textId="6AE09B8A" w:rsidR="00940F31" w:rsidRDefault="00620AE2">
            <w:pPr>
              <w:pBdr>
                <w:top w:val="nil"/>
                <w:left w:val="nil"/>
                <w:bottom w:val="nil"/>
                <w:right w:val="nil"/>
                <w:between w:val="nil"/>
              </w:pBdr>
              <w:spacing w:before="116"/>
              <w:ind w:left="110" w:hanging="110"/>
              <w:rPr>
                <w:rFonts w:ascii="Cambria" w:eastAsia="Cambria" w:hAnsi="Cambria" w:cs="Cambria"/>
                <w:sz w:val="20"/>
                <w:szCs w:val="20"/>
              </w:rPr>
            </w:pPr>
            <w:r>
              <w:rPr>
                <w:rFonts w:ascii="Cambria" w:eastAsia="Cambria" w:hAnsi="Cambria" w:cs="Cambria"/>
                <w:sz w:val="20"/>
                <w:szCs w:val="20"/>
              </w:rPr>
              <w:t xml:space="preserve">02. </w:t>
            </w:r>
            <w:r w:rsidR="00643E6A" w:rsidRPr="00643E6A">
              <w:rPr>
                <w:rFonts w:ascii="Cambria" w:eastAsia="Cambria" w:hAnsi="Cambria" w:cs="Cambria"/>
                <w:sz w:val="20"/>
                <w:szCs w:val="20"/>
              </w:rPr>
              <w:t>Posługiwanie się wiedzą o uwarunkowaniach i konsekwencjach problemów dotyczących masy ciała, stanu odżywienia, sposobu żywienia i aktywności fizycznej</w:t>
            </w:r>
          </w:p>
        </w:tc>
      </w:tr>
      <w:tr w:rsidR="00940F31" w14:paraId="16B87BBB" w14:textId="77777777">
        <w:trPr>
          <w:trHeight w:val="540"/>
        </w:trPr>
        <w:tc>
          <w:tcPr>
            <w:tcW w:w="1920" w:type="dxa"/>
            <w:shd w:val="clear" w:color="auto" w:fill="F2F2F2"/>
          </w:tcPr>
          <w:p w14:paraId="0C48F4D2"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Umiejętności</w:t>
            </w:r>
          </w:p>
        </w:tc>
        <w:tc>
          <w:tcPr>
            <w:tcW w:w="7366" w:type="dxa"/>
            <w:shd w:val="clear" w:color="auto" w:fill="F2F2F2"/>
          </w:tcPr>
          <w:p w14:paraId="65E4D47C"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Kryteria weryfikacji</w:t>
            </w:r>
          </w:p>
        </w:tc>
      </w:tr>
      <w:tr w:rsidR="00940F31" w14:paraId="083F5C08" w14:textId="77777777" w:rsidTr="00F025A4">
        <w:trPr>
          <w:trHeight w:val="1840"/>
        </w:trPr>
        <w:tc>
          <w:tcPr>
            <w:tcW w:w="1920" w:type="dxa"/>
          </w:tcPr>
          <w:p w14:paraId="3E6F70E0"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bookmarkStart w:id="2" w:name="_Hlk15931995"/>
            <w:r>
              <w:rPr>
                <w:rFonts w:ascii="Cambria" w:eastAsia="Cambria" w:hAnsi="Cambria" w:cs="Cambria"/>
                <w:color w:val="000000"/>
                <w:sz w:val="20"/>
                <w:szCs w:val="20"/>
              </w:rPr>
              <w:lastRenderedPageBreak/>
              <w:t xml:space="preserve"> Wykorzystuje wiedzę o biologicznych korelatach  regulacji odżywiania i  masy ciała</w:t>
            </w:r>
          </w:p>
        </w:tc>
        <w:tc>
          <w:tcPr>
            <w:tcW w:w="7366" w:type="dxa"/>
            <w:shd w:val="clear" w:color="auto" w:fill="auto"/>
          </w:tcPr>
          <w:p w14:paraId="544A2734" w14:textId="77777777" w:rsidR="00940F31" w:rsidRPr="001048B5" w:rsidRDefault="00940F31" w:rsidP="00643E6A">
            <w:pPr>
              <w:pBdr>
                <w:top w:val="nil"/>
                <w:left w:val="nil"/>
                <w:bottom w:val="nil"/>
                <w:right w:val="nil"/>
                <w:between w:val="nil"/>
              </w:pBdr>
              <w:spacing w:after="120"/>
              <w:ind w:left="794" w:hanging="425"/>
              <w:rPr>
                <w:rFonts w:ascii="Cambria" w:eastAsia="Cambria" w:hAnsi="Cambria" w:cs="Cambria"/>
                <w:b/>
                <w:color w:val="000000"/>
                <w:sz w:val="20"/>
                <w:szCs w:val="20"/>
              </w:rPr>
            </w:pPr>
          </w:p>
          <w:p w14:paraId="41BE5FEC" w14:textId="77777777" w:rsidR="00643E6A" w:rsidRPr="00643E6A" w:rsidRDefault="00643E6A" w:rsidP="00643E6A">
            <w:pPr>
              <w:numPr>
                <w:ilvl w:val="0"/>
                <w:numId w:val="13"/>
              </w:numPr>
              <w:pBdr>
                <w:top w:val="nil"/>
                <w:left w:val="nil"/>
                <w:bottom w:val="nil"/>
                <w:right w:val="nil"/>
                <w:between w:val="nil"/>
              </w:pBdr>
              <w:tabs>
                <w:tab w:val="left" w:pos="1190"/>
                <w:tab w:val="left" w:pos="1191"/>
              </w:tabs>
              <w:spacing w:after="120"/>
              <w:ind w:left="794" w:right="163"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biologiczne uwarunkowania regulacji odżywiania, nienormatywnej masy ciała i zaburzeń odżywiania (tj. czynniki hormonalne, predyspozycje genetyczne itp.); </w:t>
            </w:r>
          </w:p>
          <w:p w14:paraId="3F72B3D5" w14:textId="77777777" w:rsidR="00643E6A" w:rsidRPr="00643E6A" w:rsidRDefault="00643E6A" w:rsidP="00643E6A">
            <w:pPr>
              <w:numPr>
                <w:ilvl w:val="0"/>
                <w:numId w:val="13"/>
              </w:numPr>
              <w:pBdr>
                <w:top w:val="nil"/>
                <w:left w:val="nil"/>
                <w:bottom w:val="nil"/>
                <w:right w:val="nil"/>
                <w:between w:val="nil"/>
              </w:pBdr>
              <w:tabs>
                <w:tab w:val="left" w:pos="1190"/>
                <w:tab w:val="left" w:pos="1191"/>
              </w:tabs>
              <w:spacing w:after="120"/>
              <w:ind w:left="794" w:right="163"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zdrowotne konsekwencje nienormatywnej masy ciała i zaburzeń odżywiania; </w:t>
            </w:r>
          </w:p>
          <w:p w14:paraId="10AE42A5" w14:textId="2E69B6B7" w:rsidR="00940F31" w:rsidRPr="001048B5" w:rsidRDefault="00643E6A" w:rsidP="00643E6A">
            <w:pPr>
              <w:numPr>
                <w:ilvl w:val="0"/>
                <w:numId w:val="13"/>
              </w:numPr>
              <w:pBdr>
                <w:top w:val="nil"/>
                <w:left w:val="nil"/>
                <w:bottom w:val="nil"/>
                <w:right w:val="nil"/>
                <w:between w:val="nil"/>
              </w:pBdr>
              <w:tabs>
                <w:tab w:val="left" w:pos="1190"/>
                <w:tab w:val="left" w:pos="1191"/>
              </w:tabs>
              <w:spacing w:after="120"/>
              <w:ind w:left="794" w:right="163" w:hanging="425"/>
              <w:rPr>
                <w:rFonts w:ascii="Cambria" w:eastAsia="Cambria" w:hAnsi="Cambria" w:cs="Cambria"/>
                <w:color w:val="000000"/>
                <w:sz w:val="20"/>
                <w:szCs w:val="20"/>
              </w:rPr>
            </w:pPr>
            <w:r w:rsidRPr="00643E6A">
              <w:rPr>
                <w:rFonts w:ascii="Cambria" w:eastAsia="Cambria" w:hAnsi="Cambria" w:cs="Cambria"/>
                <w:color w:val="000000"/>
                <w:sz w:val="20"/>
                <w:szCs w:val="20"/>
              </w:rPr>
              <w:t>Rozpoznaje podczas analizy przypadku biologiczne uwarunkowania i konsekwencje nienormatywnej masy ciała i zaburzeń odżywiania.</w:t>
            </w:r>
          </w:p>
        </w:tc>
      </w:tr>
      <w:tr w:rsidR="00940F31" w14:paraId="0219EBBC" w14:textId="77777777" w:rsidTr="00F025A4">
        <w:trPr>
          <w:trHeight w:val="1840"/>
        </w:trPr>
        <w:tc>
          <w:tcPr>
            <w:tcW w:w="1920" w:type="dxa"/>
          </w:tcPr>
          <w:p w14:paraId="01BA5934"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color w:val="000000"/>
                <w:sz w:val="20"/>
                <w:szCs w:val="20"/>
              </w:rPr>
              <w:t>Wykorzystuje   wiedzę o psychologicznych i społecznych korelatach regulacji odżywiania i masy ciała.</w:t>
            </w:r>
          </w:p>
        </w:tc>
        <w:tc>
          <w:tcPr>
            <w:tcW w:w="7366" w:type="dxa"/>
            <w:shd w:val="clear" w:color="auto" w:fill="auto"/>
          </w:tcPr>
          <w:p w14:paraId="6A7D4669" w14:textId="77777777" w:rsidR="00643E6A" w:rsidRPr="00643E6A" w:rsidRDefault="00643E6A" w:rsidP="00643E6A">
            <w:pPr>
              <w:numPr>
                <w:ilvl w:val="0"/>
                <w:numId w:val="8"/>
              </w:numPr>
              <w:pBdr>
                <w:top w:val="nil"/>
                <w:left w:val="nil"/>
                <w:bottom w:val="nil"/>
                <w:right w:val="nil"/>
                <w:between w:val="nil"/>
              </w:pBdr>
              <w:tabs>
                <w:tab w:val="left" w:pos="1190"/>
                <w:tab w:val="left" w:pos="1191"/>
              </w:tabs>
              <w:spacing w:after="120"/>
              <w:ind w:left="794" w:right="441"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psychologiczne i społeczne uwarunkowania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żywieniowych i zaburzeń odżywiania; </w:t>
            </w:r>
          </w:p>
          <w:p w14:paraId="63030ACD" w14:textId="77777777" w:rsidR="00643E6A" w:rsidRPr="00643E6A" w:rsidRDefault="00643E6A" w:rsidP="00643E6A">
            <w:pPr>
              <w:numPr>
                <w:ilvl w:val="0"/>
                <w:numId w:val="8"/>
              </w:numPr>
              <w:pBdr>
                <w:top w:val="nil"/>
                <w:left w:val="nil"/>
                <w:bottom w:val="nil"/>
                <w:right w:val="nil"/>
                <w:between w:val="nil"/>
              </w:pBdr>
              <w:tabs>
                <w:tab w:val="left" w:pos="1190"/>
                <w:tab w:val="left" w:pos="1191"/>
              </w:tabs>
              <w:spacing w:after="120"/>
              <w:ind w:left="794" w:right="441"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konsekwencje psychologiczne i społeczne nienormatywnej masy ciała i zaburzeń odżywiania; </w:t>
            </w:r>
          </w:p>
          <w:p w14:paraId="53C3301F" w14:textId="06C24074" w:rsidR="00940F31" w:rsidRPr="001048B5" w:rsidRDefault="00643E6A" w:rsidP="00643E6A">
            <w:pPr>
              <w:numPr>
                <w:ilvl w:val="0"/>
                <w:numId w:val="8"/>
              </w:numPr>
              <w:pBdr>
                <w:top w:val="nil"/>
                <w:left w:val="nil"/>
                <w:bottom w:val="nil"/>
                <w:right w:val="nil"/>
                <w:between w:val="nil"/>
              </w:pBdr>
              <w:tabs>
                <w:tab w:val="left" w:pos="1190"/>
                <w:tab w:val="left" w:pos="1191"/>
              </w:tabs>
              <w:spacing w:after="120"/>
              <w:ind w:left="794" w:right="441" w:hanging="425"/>
              <w:rPr>
                <w:rFonts w:ascii="Cambria" w:eastAsia="Cambria" w:hAnsi="Cambria" w:cs="Cambria"/>
                <w:b/>
                <w:color w:val="000000"/>
                <w:sz w:val="20"/>
                <w:szCs w:val="20"/>
              </w:rPr>
            </w:pPr>
            <w:r w:rsidRPr="00643E6A">
              <w:rPr>
                <w:rFonts w:ascii="Cambria" w:eastAsia="Cambria" w:hAnsi="Cambria" w:cs="Cambria"/>
                <w:color w:val="000000"/>
                <w:sz w:val="20"/>
                <w:szCs w:val="20"/>
              </w:rPr>
              <w:t>Rozpoznaje, podczas analizy przypadku psychologiczne i społeczne uwarunkowania i konsekwencje nienormatywnej masy ciała i zaburzeń odżywiania.</w:t>
            </w:r>
          </w:p>
        </w:tc>
      </w:tr>
      <w:bookmarkEnd w:id="2"/>
      <w:tr w:rsidR="00940F31" w14:paraId="597F34FC" w14:textId="77777777">
        <w:trPr>
          <w:trHeight w:val="700"/>
        </w:trPr>
        <w:tc>
          <w:tcPr>
            <w:tcW w:w="1920" w:type="dxa"/>
            <w:shd w:val="clear" w:color="auto" w:fill="F2F2F2"/>
          </w:tcPr>
          <w:p w14:paraId="37752FF0"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b/>
                <w:color w:val="000000"/>
                <w:sz w:val="20"/>
                <w:szCs w:val="20"/>
              </w:rPr>
              <w:t>Zestaw efektów uczenia się:</w:t>
            </w:r>
          </w:p>
        </w:tc>
        <w:tc>
          <w:tcPr>
            <w:tcW w:w="7366" w:type="dxa"/>
          </w:tcPr>
          <w:p w14:paraId="25BCDD36" w14:textId="77777777" w:rsidR="00940F31" w:rsidRDefault="00620AE2">
            <w:pPr>
              <w:pBdr>
                <w:top w:val="nil"/>
                <w:left w:val="nil"/>
                <w:bottom w:val="nil"/>
                <w:right w:val="nil"/>
                <w:between w:val="nil"/>
              </w:pBdr>
              <w:ind w:right="441"/>
              <w:rPr>
                <w:rFonts w:ascii="Cambria" w:eastAsia="Cambria" w:hAnsi="Cambria" w:cs="Cambria"/>
                <w:color w:val="000000"/>
                <w:sz w:val="20"/>
                <w:szCs w:val="20"/>
              </w:rPr>
            </w:pPr>
            <w:r>
              <w:rPr>
                <w:rFonts w:ascii="Cambria" w:eastAsia="Cambria" w:hAnsi="Cambria" w:cs="Cambria"/>
                <w:color w:val="000000"/>
                <w:sz w:val="20"/>
                <w:szCs w:val="20"/>
              </w:rPr>
              <w:t xml:space="preserve"> 03. Prowadzenie edukacji </w:t>
            </w:r>
            <w:r>
              <w:rPr>
                <w:rFonts w:ascii="Cambria" w:eastAsia="Cambria" w:hAnsi="Cambria" w:cs="Cambria"/>
                <w:sz w:val="20"/>
                <w:szCs w:val="20"/>
              </w:rPr>
              <w:t xml:space="preserve">na temat żywienia i aktywności fizycznej. </w:t>
            </w:r>
          </w:p>
        </w:tc>
      </w:tr>
      <w:tr w:rsidR="00940F31" w14:paraId="3500E916" w14:textId="77777777">
        <w:trPr>
          <w:trHeight w:val="300"/>
        </w:trPr>
        <w:tc>
          <w:tcPr>
            <w:tcW w:w="1920" w:type="dxa"/>
            <w:shd w:val="clear" w:color="auto" w:fill="F2F2F2"/>
          </w:tcPr>
          <w:p w14:paraId="0020959F"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b/>
                <w:color w:val="000000"/>
                <w:sz w:val="20"/>
                <w:szCs w:val="20"/>
              </w:rPr>
              <w:t>Umiejętności</w:t>
            </w:r>
          </w:p>
        </w:tc>
        <w:tc>
          <w:tcPr>
            <w:tcW w:w="7366" w:type="dxa"/>
          </w:tcPr>
          <w:p w14:paraId="7D18A1B7" w14:textId="77777777" w:rsidR="00940F31" w:rsidRDefault="00620AE2">
            <w:pPr>
              <w:pBdr>
                <w:top w:val="nil"/>
                <w:left w:val="nil"/>
                <w:bottom w:val="nil"/>
                <w:right w:val="nil"/>
                <w:between w:val="nil"/>
              </w:pBdr>
              <w:tabs>
                <w:tab w:val="left" w:pos="1190"/>
                <w:tab w:val="left" w:pos="1191"/>
                <w:tab w:val="left" w:pos="2552"/>
              </w:tabs>
              <w:ind w:right="441"/>
              <w:rPr>
                <w:rFonts w:ascii="Cambria" w:eastAsia="Cambria" w:hAnsi="Cambria" w:cs="Cambria"/>
                <w:color w:val="000000"/>
                <w:sz w:val="20"/>
                <w:szCs w:val="20"/>
              </w:rPr>
            </w:pPr>
            <w:r>
              <w:rPr>
                <w:rFonts w:ascii="Cambria" w:eastAsia="Cambria" w:hAnsi="Cambria" w:cs="Cambria"/>
                <w:b/>
                <w:color w:val="000000"/>
                <w:sz w:val="20"/>
                <w:szCs w:val="20"/>
              </w:rPr>
              <w:t>Kryteria weryfikacji</w:t>
            </w:r>
            <w:r>
              <w:rPr>
                <w:rFonts w:ascii="Cambria" w:eastAsia="Cambria" w:hAnsi="Cambria" w:cs="Cambria"/>
                <w:b/>
                <w:color w:val="000000"/>
                <w:sz w:val="20"/>
                <w:szCs w:val="20"/>
              </w:rPr>
              <w:tab/>
            </w:r>
          </w:p>
        </w:tc>
      </w:tr>
      <w:tr w:rsidR="00940F31" w14:paraId="38C50B85" w14:textId="77777777">
        <w:trPr>
          <w:trHeight w:val="300"/>
        </w:trPr>
        <w:tc>
          <w:tcPr>
            <w:tcW w:w="1920" w:type="dxa"/>
            <w:shd w:val="clear" w:color="auto" w:fill="FFFFFF"/>
          </w:tcPr>
          <w:p w14:paraId="7EFABFBD"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color w:val="000000"/>
                <w:sz w:val="20"/>
                <w:szCs w:val="20"/>
              </w:rPr>
              <w:t xml:space="preserve">Prowadzi grupową edukację dotycząca prawidłowego odżywiania </w:t>
            </w:r>
          </w:p>
          <w:p w14:paraId="749AB230" w14:textId="77777777" w:rsidR="00940F31" w:rsidRDefault="00940F31">
            <w:pPr>
              <w:pBdr>
                <w:top w:val="nil"/>
                <w:left w:val="nil"/>
                <w:bottom w:val="nil"/>
                <w:right w:val="nil"/>
                <w:between w:val="nil"/>
              </w:pBdr>
              <w:spacing w:before="116" w:line="273" w:lineRule="auto"/>
              <w:ind w:left="110" w:right="325" w:hanging="110"/>
              <w:rPr>
                <w:rFonts w:ascii="Cambria" w:eastAsia="Cambria" w:hAnsi="Cambria" w:cs="Cambria"/>
                <w:b/>
                <w:color w:val="000000"/>
                <w:sz w:val="20"/>
                <w:szCs w:val="20"/>
              </w:rPr>
            </w:pPr>
          </w:p>
        </w:tc>
        <w:tc>
          <w:tcPr>
            <w:tcW w:w="7366" w:type="dxa"/>
          </w:tcPr>
          <w:p w14:paraId="1E652C46"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Przygotowuje plan spotkań edukacyjnych; </w:t>
            </w:r>
          </w:p>
          <w:p w14:paraId="2A602963"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znaczenie właściwego sposobu żywienia/prawidłowo zbilansowanej diety dla utrzymania zdrowia; </w:t>
            </w:r>
          </w:p>
          <w:p w14:paraId="46207808"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zalecenia żywieniowe dla dzieci i młodzieży w kontekście profilaktyki nadwagi i otyłości; </w:t>
            </w:r>
          </w:p>
          <w:p w14:paraId="66A9A62B"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Przedstawia rekomendacje dotyczące bezpiecznego stosowania diety redukcyjnej; </w:t>
            </w:r>
          </w:p>
          <w:p w14:paraId="1558A29B"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Omawia ryzyka związanego z zachęcaniem dzieci i młodzieży do zdrowej diety (np. Związane z wywołaniem tendencji do ograniczeń żywieniowych, podział jedzenia na „dobre i złe”)</w:t>
            </w:r>
          </w:p>
          <w:p w14:paraId="0462C5C4"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stosuje zasady minimalizowania ryzyka związanego z zachęcaniem dzieci i młodzieży do zdrowej diety , (elastyczne podejście, przestrzeganie przed nadmiernymi restrykcjami żywieniowymi itp.)</w:t>
            </w:r>
          </w:p>
          <w:p w14:paraId="5C499F2F"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ryzyko rozwoju zaburzeń odżywiania związane z podejmowaniem diet odchudzających i sposoby minimalizacji tego ryzyka; </w:t>
            </w:r>
          </w:p>
          <w:p w14:paraId="0F6CA3A5"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rekomendacje dotyczące zaleceń żywieniowych dla dzieci i młodzieży z zaburzeniami odżywiania; </w:t>
            </w:r>
          </w:p>
          <w:p w14:paraId="55CEB50D"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popularne mity na temat odżywiania i zdrowego stylu życia, prowadzące do problematycznych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żywieniowych; </w:t>
            </w:r>
          </w:p>
          <w:p w14:paraId="760491D4" w14:textId="77777777" w:rsidR="00643E6A" w:rsidRPr="00643E6A" w:rsidRDefault="00643E6A" w:rsidP="00643E6A">
            <w:pPr>
              <w:numPr>
                <w:ilvl w:val="0"/>
                <w:numId w:val="21"/>
              </w:numPr>
              <w:pBdr>
                <w:top w:val="nil"/>
                <w:left w:val="nil"/>
                <w:bottom w:val="nil"/>
                <w:right w:val="nil"/>
                <w:between w:val="nil"/>
              </w:pBdr>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Wykorzystuje ćwiczenia aktywizujące podczas prowadzonych oddziaływań edukacyjnych; </w:t>
            </w:r>
          </w:p>
          <w:p w14:paraId="7B70FDC9" w14:textId="285B779D" w:rsidR="00940F31" w:rsidRDefault="00643E6A" w:rsidP="00643E6A">
            <w:pPr>
              <w:numPr>
                <w:ilvl w:val="0"/>
                <w:numId w:val="21"/>
              </w:numPr>
              <w:pBdr>
                <w:top w:val="nil"/>
                <w:left w:val="nil"/>
                <w:bottom w:val="nil"/>
                <w:right w:val="nil"/>
                <w:between w:val="nil"/>
              </w:pBdr>
              <w:tabs>
                <w:tab w:val="left" w:pos="1190"/>
                <w:tab w:val="left" w:pos="1191"/>
              </w:tabs>
              <w:spacing w:before="120"/>
              <w:ind w:left="794" w:right="441" w:hanging="425"/>
              <w:rPr>
                <w:color w:val="000000"/>
              </w:rPr>
            </w:pPr>
            <w:r w:rsidRPr="00643E6A">
              <w:rPr>
                <w:rFonts w:ascii="Cambria" w:eastAsia="Cambria" w:hAnsi="Cambria" w:cs="Cambria"/>
                <w:color w:val="000000"/>
                <w:sz w:val="20"/>
                <w:szCs w:val="20"/>
              </w:rPr>
              <w:t>Dostarcza materiały edukacyjne wspierające treści omawiane na spotkaniach.</w:t>
            </w:r>
          </w:p>
        </w:tc>
      </w:tr>
      <w:tr w:rsidR="00940F31" w14:paraId="75EC0FEB" w14:textId="77777777">
        <w:trPr>
          <w:trHeight w:val="300"/>
        </w:trPr>
        <w:tc>
          <w:tcPr>
            <w:tcW w:w="1920" w:type="dxa"/>
            <w:shd w:val="clear" w:color="auto" w:fill="FFFFFF"/>
          </w:tcPr>
          <w:p w14:paraId="7A57BEC3"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color w:val="000000"/>
                <w:sz w:val="20"/>
                <w:szCs w:val="20"/>
              </w:rPr>
              <w:t>Prowadzi indywidualną rozmowę edukacyjną na temat zdrowego odżywiania</w:t>
            </w:r>
          </w:p>
        </w:tc>
        <w:tc>
          <w:tcPr>
            <w:tcW w:w="7366" w:type="dxa"/>
          </w:tcPr>
          <w:p w14:paraId="66D56ECC"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rekomendacje dotyczące odżywiania dostosowane do wieku, płci, stanu zdrowia i poziomu aktywności fizycznej danej osoby; </w:t>
            </w:r>
          </w:p>
          <w:p w14:paraId="2508853E"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znaczenie popełnianych błędów żywieniowych dla zdrowia somatycznego i psychicznego osoby; </w:t>
            </w:r>
          </w:p>
          <w:p w14:paraId="52EC5C09"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ryzyko rozwoju zaburzeń odżywiania związane z podejmowaniem diet odchudzających i sposoby minimalizacji tego ryzyka; </w:t>
            </w:r>
          </w:p>
          <w:p w14:paraId="024D98D0" w14:textId="5093AE2B" w:rsidR="00940F31"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color w:val="000000"/>
              </w:rPr>
            </w:pPr>
            <w:r w:rsidRPr="00643E6A">
              <w:rPr>
                <w:rFonts w:ascii="Cambria" w:eastAsia="Cambria" w:hAnsi="Cambria" w:cs="Cambria"/>
                <w:color w:val="000000"/>
                <w:sz w:val="20"/>
                <w:szCs w:val="20"/>
              </w:rPr>
              <w:lastRenderedPageBreak/>
              <w:t>Analizuje przekonania danej osoby na temat odżywania i zdrowego stylu życia i weryfikuje je w świetle aktualnej wiedzy oraz prowadzi edukację w tym zakresie.</w:t>
            </w:r>
          </w:p>
        </w:tc>
      </w:tr>
      <w:tr w:rsidR="00940F31" w14:paraId="13378356" w14:textId="77777777">
        <w:trPr>
          <w:trHeight w:val="300"/>
        </w:trPr>
        <w:tc>
          <w:tcPr>
            <w:tcW w:w="1920" w:type="dxa"/>
            <w:shd w:val="clear" w:color="auto" w:fill="auto"/>
          </w:tcPr>
          <w:p w14:paraId="7C2B9897"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color w:val="000000"/>
                <w:sz w:val="20"/>
                <w:szCs w:val="20"/>
              </w:rPr>
              <w:lastRenderedPageBreak/>
              <w:t>Prowadzi grupową edukację na temat aktywności fizycznej.</w:t>
            </w:r>
          </w:p>
        </w:tc>
        <w:tc>
          <w:tcPr>
            <w:tcW w:w="7366" w:type="dxa"/>
          </w:tcPr>
          <w:p w14:paraId="6473C7FC"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Przygotowuje plan spotkań edukacyjnych; </w:t>
            </w:r>
          </w:p>
          <w:p w14:paraId="48CBFBDE"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znaczenie aktywności fizycznej dla  zdrowia; </w:t>
            </w:r>
          </w:p>
          <w:p w14:paraId="548A4E03"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zalecenia dotyczące aktywności fizycznej dzieci i młodzieży w kontekście profilaktyki nadwagi i otyłości; </w:t>
            </w:r>
          </w:p>
          <w:p w14:paraId="58DFA52D"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rekomendacje dotyczące aktywności fizycznej w nadwadze, otyłości i niedowadze; </w:t>
            </w:r>
          </w:p>
          <w:p w14:paraId="16D09241"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rekomendacje dotyczące aktywności fizycznej dla osób z zaburzeniami odżywiania; </w:t>
            </w:r>
          </w:p>
          <w:p w14:paraId="5A879876"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Wykorzystuje ćwiczenia aktywizujące podczas prowadzonych oddziaływań edukacyjnych; </w:t>
            </w:r>
          </w:p>
          <w:p w14:paraId="1EF0C055"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Dostarcza materiały edukacyjne wspierające treści omawiane na spotkaniach.</w:t>
            </w:r>
          </w:p>
          <w:p w14:paraId="5DC2BF73" w14:textId="150F5213" w:rsidR="00940F31" w:rsidRDefault="00643E6A" w:rsidP="00643E6A">
            <w:pPr>
              <w:numPr>
                <w:ilvl w:val="0"/>
                <w:numId w:val="21"/>
              </w:numPr>
              <w:pBdr>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Prowadzi edukację na temat aktywności fizycznej wśród nieletnich w sposób niestygmatyzujący osoby z nienormatywną masą ciała i zaburzeniami odżywiania. </w:t>
            </w:r>
          </w:p>
        </w:tc>
      </w:tr>
      <w:tr w:rsidR="00940F31" w14:paraId="6ECE06E6" w14:textId="77777777">
        <w:trPr>
          <w:trHeight w:val="300"/>
        </w:trPr>
        <w:tc>
          <w:tcPr>
            <w:tcW w:w="1920" w:type="dxa"/>
            <w:shd w:val="clear" w:color="auto" w:fill="auto"/>
          </w:tcPr>
          <w:p w14:paraId="53B62493"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color w:val="000000"/>
                <w:sz w:val="20"/>
                <w:szCs w:val="20"/>
              </w:rPr>
            </w:pPr>
            <w:r>
              <w:rPr>
                <w:rFonts w:ascii="Cambria" w:eastAsia="Cambria" w:hAnsi="Cambria" w:cs="Cambria"/>
                <w:color w:val="000000"/>
                <w:sz w:val="20"/>
                <w:szCs w:val="20"/>
              </w:rPr>
              <w:t>Prowadzi indywidualną rozmowę edukacyjną na temat aktywności fizycznej.</w:t>
            </w:r>
          </w:p>
        </w:tc>
        <w:tc>
          <w:tcPr>
            <w:tcW w:w="7366" w:type="dxa"/>
          </w:tcPr>
          <w:p w14:paraId="2B87ABA4"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ogólne rekomendacje dotyczące aktywności fizycznej dostosowanej do wieku, płci, stanu zdrowia danej osoby; </w:t>
            </w:r>
          </w:p>
          <w:p w14:paraId="0ED07E7C" w14:textId="77777777" w:rsidR="00643E6A" w:rsidRPr="00643E6A"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ryzyko związane z brakiem aktywności fizycznej dla zdrowia somatycznego i psychicznego osoby; </w:t>
            </w:r>
          </w:p>
          <w:p w14:paraId="08BDA776" w14:textId="6F910E98" w:rsidR="00940F31" w:rsidRDefault="00643E6A" w:rsidP="00643E6A">
            <w:pPr>
              <w:numPr>
                <w:ilvl w:val="0"/>
                <w:numId w:val="21"/>
              </w:numPr>
              <w:pBdr>
                <w:top w:val="nil"/>
                <w:left w:val="nil"/>
                <w:bottom w:val="nil"/>
                <w:right w:val="nil"/>
                <w:between w:val="nil"/>
              </w:pBdr>
              <w:tabs>
                <w:tab w:val="left" w:pos="1190"/>
                <w:tab w:val="left" w:pos="1191"/>
              </w:tabs>
              <w:spacing w:before="120"/>
              <w:ind w:left="794" w:right="456" w:hanging="425"/>
              <w:rPr>
                <w:color w:val="000000"/>
              </w:rPr>
            </w:pPr>
            <w:r w:rsidRPr="00643E6A">
              <w:rPr>
                <w:rFonts w:ascii="Cambria" w:eastAsia="Cambria" w:hAnsi="Cambria" w:cs="Cambria"/>
                <w:color w:val="000000"/>
                <w:sz w:val="20"/>
                <w:szCs w:val="20"/>
              </w:rPr>
              <w:t>Omawia ryzyko związane z podejmowaniem tak zwanej dysfunkcjonalnej aktywności fizycznej (nadmiernej).</w:t>
            </w:r>
          </w:p>
        </w:tc>
      </w:tr>
      <w:tr w:rsidR="00940F31" w14:paraId="7E854CF4" w14:textId="77777777">
        <w:trPr>
          <w:trHeight w:val="300"/>
        </w:trPr>
        <w:tc>
          <w:tcPr>
            <w:tcW w:w="1920" w:type="dxa"/>
            <w:shd w:val="clear" w:color="auto" w:fill="FFFFFF"/>
          </w:tcPr>
          <w:p w14:paraId="70EB85C3"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b/>
                <w:color w:val="000000"/>
                <w:sz w:val="20"/>
                <w:szCs w:val="20"/>
              </w:rPr>
            </w:pPr>
            <w:bookmarkStart w:id="3" w:name="_tyjcwt" w:colFirst="0" w:colLast="0"/>
            <w:bookmarkEnd w:id="3"/>
            <w:r>
              <w:rPr>
                <w:rFonts w:ascii="Cambria" w:eastAsia="Cambria" w:hAnsi="Cambria" w:cs="Cambria"/>
                <w:b/>
                <w:color w:val="000000"/>
                <w:sz w:val="20"/>
                <w:szCs w:val="20"/>
              </w:rPr>
              <w:t>Zestaw efektów uczenia się:</w:t>
            </w:r>
          </w:p>
        </w:tc>
        <w:tc>
          <w:tcPr>
            <w:tcW w:w="7366" w:type="dxa"/>
          </w:tcPr>
          <w:p w14:paraId="16776C60" w14:textId="61AEF581" w:rsidR="00940F31" w:rsidRDefault="00620AE2">
            <w:pPr>
              <w:pBdr>
                <w:top w:val="nil"/>
                <w:left w:val="nil"/>
                <w:bottom w:val="nil"/>
                <w:right w:val="nil"/>
                <w:between w:val="nil"/>
              </w:pBdr>
              <w:tabs>
                <w:tab w:val="left" w:pos="1190"/>
                <w:tab w:val="left" w:pos="1191"/>
              </w:tabs>
              <w:ind w:right="441"/>
              <w:rPr>
                <w:rFonts w:ascii="Cambria" w:eastAsia="Cambria" w:hAnsi="Cambria" w:cs="Cambria"/>
                <w:b/>
                <w:color w:val="000000"/>
                <w:sz w:val="20"/>
                <w:szCs w:val="20"/>
              </w:rPr>
            </w:pPr>
            <w:r>
              <w:rPr>
                <w:rFonts w:ascii="Cambria" w:eastAsia="Cambria" w:hAnsi="Cambria" w:cs="Cambria"/>
                <w:color w:val="000000"/>
                <w:sz w:val="20"/>
                <w:szCs w:val="20"/>
              </w:rPr>
              <w:t xml:space="preserve"> 04. </w:t>
            </w:r>
            <w:r w:rsidR="00643E6A" w:rsidRPr="00643E6A">
              <w:rPr>
                <w:rFonts w:ascii="Cambria" w:eastAsia="Cambria" w:hAnsi="Cambria" w:cs="Cambria"/>
                <w:color w:val="000000"/>
                <w:sz w:val="20"/>
                <w:szCs w:val="20"/>
              </w:rPr>
              <w:t>Planowanie i wdrażanie działań profilaktycznych i pomocowych (tzw. wczesnych interwencji) względem osób z nienormatywną masą ciała i zaburzeniami odżywiania lub zagrożonych tymi problemami.</w:t>
            </w:r>
          </w:p>
        </w:tc>
      </w:tr>
      <w:tr w:rsidR="00940F31" w14:paraId="21DB5881" w14:textId="77777777">
        <w:trPr>
          <w:trHeight w:val="300"/>
        </w:trPr>
        <w:tc>
          <w:tcPr>
            <w:tcW w:w="1920" w:type="dxa"/>
            <w:shd w:val="clear" w:color="auto" w:fill="FFFFFF"/>
          </w:tcPr>
          <w:p w14:paraId="5AE621AD" w14:textId="77777777" w:rsidR="00940F31" w:rsidRDefault="00620AE2">
            <w:pPr>
              <w:pBdr>
                <w:top w:val="nil"/>
                <w:left w:val="nil"/>
                <w:bottom w:val="nil"/>
                <w:right w:val="nil"/>
                <w:between w:val="nil"/>
              </w:pBdr>
              <w:spacing w:before="116" w:line="273" w:lineRule="auto"/>
              <w:ind w:left="110" w:right="325" w:hanging="110"/>
              <w:rPr>
                <w:rFonts w:ascii="Cambria" w:eastAsia="Cambria" w:hAnsi="Cambria" w:cs="Cambria"/>
                <w:b/>
                <w:color w:val="000000"/>
                <w:sz w:val="20"/>
                <w:szCs w:val="20"/>
              </w:rPr>
            </w:pPr>
            <w:r>
              <w:rPr>
                <w:rFonts w:ascii="Cambria" w:eastAsia="Cambria" w:hAnsi="Cambria" w:cs="Cambria"/>
                <w:b/>
                <w:color w:val="000000"/>
                <w:sz w:val="20"/>
                <w:szCs w:val="20"/>
              </w:rPr>
              <w:t>Umiejętności</w:t>
            </w:r>
          </w:p>
        </w:tc>
        <w:tc>
          <w:tcPr>
            <w:tcW w:w="7366" w:type="dxa"/>
          </w:tcPr>
          <w:p w14:paraId="49A6DF8F" w14:textId="77777777" w:rsidR="00940F31" w:rsidRDefault="00620AE2">
            <w:pPr>
              <w:pBdr>
                <w:top w:val="nil"/>
                <w:left w:val="nil"/>
                <w:bottom w:val="nil"/>
                <w:right w:val="nil"/>
                <w:between w:val="nil"/>
              </w:pBdr>
              <w:tabs>
                <w:tab w:val="left" w:pos="1190"/>
                <w:tab w:val="left" w:pos="1191"/>
              </w:tabs>
              <w:ind w:right="441"/>
              <w:rPr>
                <w:rFonts w:ascii="Cambria" w:eastAsia="Cambria" w:hAnsi="Cambria" w:cs="Cambria"/>
                <w:b/>
                <w:color w:val="000000"/>
                <w:sz w:val="20"/>
                <w:szCs w:val="20"/>
              </w:rPr>
            </w:pPr>
            <w:r>
              <w:rPr>
                <w:rFonts w:ascii="Cambria" w:eastAsia="Cambria" w:hAnsi="Cambria" w:cs="Cambria"/>
                <w:b/>
                <w:color w:val="000000"/>
                <w:sz w:val="20"/>
                <w:szCs w:val="20"/>
              </w:rPr>
              <w:t>Kryteria weryfikacji</w:t>
            </w:r>
            <w:r>
              <w:rPr>
                <w:rFonts w:ascii="Cambria" w:eastAsia="Cambria" w:hAnsi="Cambria" w:cs="Cambria"/>
                <w:b/>
                <w:color w:val="000000"/>
                <w:sz w:val="20"/>
                <w:szCs w:val="20"/>
              </w:rPr>
              <w:tab/>
            </w:r>
          </w:p>
        </w:tc>
      </w:tr>
      <w:tr w:rsidR="00940F31" w14:paraId="5E8348A6" w14:textId="77777777">
        <w:trPr>
          <w:trHeight w:val="300"/>
        </w:trPr>
        <w:tc>
          <w:tcPr>
            <w:tcW w:w="1920" w:type="dxa"/>
            <w:shd w:val="clear" w:color="auto" w:fill="FFFFFF"/>
          </w:tcPr>
          <w:p w14:paraId="64451977" w14:textId="77777777" w:rsidR="00940F31" w:rsidRDefault="00620AE2">
            <w:pPr>
              <w:pBdr>
                <w:top w:val="nil"/>
                <w:left w:val="nil"/>
                <w:bottom w:val="nil"/>
                <w:right w:val="nil"/>
                <w:between w:val="nil"/>
              </w:pBdr>
              <w:spacing w:before="116" w:line="273" w:lineRule="auto"/>
              <w:ind w:right="325"/>
              <w:rPr>
                <w:rFonts w:ascii="Cambria" w:eastAsia="Cambria" w:hAnsi="Cambria" w:cs="Cambria"/>
                <w:b/>
                <w:color w:val="000000"/>
                <w:sz w:val="20"/>
                <w:szCs w:val="20"/>
              </w:rPr>
            </w:pPr>
            <w:r>
              <w:rPr>
                <w:rFonts w:ascii="Cambria" w:eastAsia="Cambria" w:hAnsi="Cambria" w:cs="Cambria"/>
                <w:sz w:val="20"/>
                <w:szCs w:val="20"/>
              </w:rPr>
              <w:t xml:space="preserve">Prowadzi grupowe oddziaływania motywujące  i wspierające do zmiany </w:t>
            </w:r>
            <w:proofErr w:type="spellStart"/>
            <w:r>
              <w:rPr>
                <w:rFonts w:ascii="Cambria" w:eastAsia="Cambria" w:hAnsi="Cambria" w:cs="Cambria"/>
                <w:sz w:val="20"/>
                <w:szCs w:val="20"/>
              </w:rPr>
              <w:t>zachowań</w:t>
            </w:r>
            <w:proofErr w:type="spellEnd"/>
            <w:r>
              <w:rPr>
                <w:rFonts w:ascii="Cambria" w:eastAsia="Cambria" w:hAnsi="Cambria" w:cs="Cambria"/>
                <w:sz w:val="20"/>
                <w:szCs w:val="20"/>
              </w:rPr>
              <w:t xml:space="preserve"> żywieniowych i nawyków dotyczących aktywności fizycznej wśród osób z nadmierną masą ciała lub zagrożonych takim problemem.</w:t>
            </w:r>
          </w:p>
        </w:tc>
        <w:tc>
          <w:tcPr>
            <w:tcW w:w="7366" w:type="dxa"/>
          </w:tcPr>
          <w:p w14:paraId="0B3C875F"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Przygotowuje plan spotkań motywujących i wspierających; </w:t>
            </w:r>
          </w:p>
          <w:p w14:paraId="2C2205A1"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techniki zmiany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zdrowotnych, o potwierdzonej naukowo skuteczności odpowiednie do wykorzystania w oddziaływaniach grupowych; </w:t>
            </w:r>
          </w:p>
          <w:p w14:paraId="303EBB38"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Wykorzystuje w oddziaływaniach grupowych techniki motywujące do podejmowania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zdrowotnych; </w:t>
            </w:r>
          </w:p>
          <w:p w14:paraId="71A122FD"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Wykorzystuje w oddziaływaniach grupowych techniki wspomagające planowanie zmiany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zdrowotnych; </w:t>
            </w:r>
          </w:p>
          <w:p w14:paraId="4DC84755"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Uczy w oddziaływaniach grupowych stosowania technik wspomagających samokontrolę zachowania; </w:t>
            </w:r>
          </w:p>
          <w:p w14:paraId="176578CC"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Uczy w oddziaływaniach grupowych stosowania technik zapobiegania nawrotom do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niekorzystnych dla masy ciała i zdrowia; </w:t>
            </w:r>
          </w:p>
          <w:p w14:paraId="2AD7F9AF"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Wykorzystuje ćwiczenia aktywizujące podczas prowadzonych oddziaływań grupowych; </w:t>
            </w:r>
          </w:p>
          <w:p w14:paraId="583031CF" w14:textId="3A9284AB" w:rsidR="00940F31"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Dostarcza materiały edukacyjne wspierające treści omawiane na spotkaniach.</w:t>
            </w:r>
          </w:p>
          <w:p w14:paraId="4BF3AEBC" w14:textId="77777777" w:rsidR="00940F31" w:rsidRDefault="00940F31" w:rsidP="00643E6A">
            <w:p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p>
        </w:tc>
      </w:tr>
      <w:tr w:rsidR="00940F31" w14:paraId="54166651" w14:textId="77777777">
        <w:trPr>
          <w:trHeight w:val="300"/>
        </w:trPr>
        <w:tc>
          <w:tcPr>
            <w:tcW w:w="1920" w:type="dxa"/>
            <w:shd w:val="clear" w:color="auto" w:fill="FFFFFF"/>
          </w:tcPr>
          <w:p w14:paraId="6D86E6C9" w14:textId="77777777" w:rsidR="00940F31" w:rsidRDefault="00620AE2">
            <w:pPr>
              <w:pBdr>
                <w:top w:val="nil"/>
                <w:left w:val="nil"/>
                <w:bottom w:val="nil"/>
                <w:right w:val="nil"/>
                <w:between w:val="nil"/>
              </w:pBdr>
              <w:spacing w:before="116" w:line="273" w:lineRule="auto"/>
              <w:ind w:right="325"/>
              <w:rPr>
                <w:rFonts w:ascii="Cambria" w:eastAsia="Cambria" w:hAnsi="Cambria" w:cs="Cambria"/>
                <w:sz w:val="20"/>
                <w:szCs w:val="20"/>
              </w:rPr>
            </w:pPr>
            <w:r>
              <w:rPr>
                <w:rFonts w:ascii="Cambria" w:eastAsia="Cambria" w:hAnsi="Cambria" w:cs="Cambria"/>
                <w:sz w:val="20"/>
                <w:szCs w:val="20"/>
              </w:rPr>
              <w:t xml:space="preserve">Prowadzi oddziaływania indywidualne motywujące  i wspierające do </w:t>
            </w:r>
            <w:r>
              <w:rPr>
                <w:rFonts w:ascii="Cambria" w:eastAsia="Cambria" w:hAnsi="Cambria" w:cs="Cambria"/>
                <w:sz w:val="20"/>
                <w:szCs w:val="20"/>
              </w:rPr>
              <w:lastRenderedPageBreak/>
              <w:t xml:space="preserve">zmiany </w:t>
            </w:r>
            <w:proofErr w:type="spellStart"/>
            <w:r>
              <w:rPr>
                <w:rFonts w:ascii="Cambria" w:eastAsia="Cambria" w:hAnsi="Cambria" w:cs="Cambria"/>
                <w:sz w:val="20"/>
                <w:szCs w:val="20"/>
              </w:rPr>
              <w:t>zachowań</w:t>
            </w:r>
            <w:proofErr w:type="spellEnd"/>
            <w:r>
              <w:rPr>
                <w:rFonts w:ascii="Cambria" w:eastAsia="Cambria" w:hAnsi="Cambria" w:cs="Cambria"/>
                <w:sz w:val="20"/>
                <w:szCs w:val="20"/>
              </w:rPr>
              <w:t xml:space="preserve"> żywieniowych i nawyków dotyczących aktywności fizycznej wśród osób z nadmierną masą ciała lub zagrożonych takim problemem.</w:t>
            </w:r>
          </w:p>
        </w:tc>
        <w:tc>
          <w:tcPr>
            <w:tcW w:w="7366" w:type="dxa"/>
          </w:tcPr>
          <w:p w14:paraId="61C78F6C"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lastRenderedPageBreak/>
              <w:t>Przygotowuje plan indywidualnych spotkań pomocowych;</w:t>
            </w:r>
          </w:p>
          <w:p w14:paraId="3FD61B8B"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techniki zmiany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zdrowotnych odpowiednie w oddziaływaniach indywidualnych o potwierdzonej naukowo skuteczności; </w:t>
            </w:r>
          </w:p>
          <w:p w14:paraId="13EB8043"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Dobiera metody wspierania zmiany zachowania adekwatnie do fazy </w:t>
            </w:r>
            <w:r w:rsidRPr="00643E6A">
              <w:rPr>
                <w:rFonts w:ascii="Cambria" w:eastAsia="Cambria" w:hAnsi="Cambria" w:cs="Cambria"/>
                <w:color w:val="000000"/>
                <w:sz w:val="20"/>
                <w:szCs w:val="20"/>
              </w:rPr>
              <w:lastRenderedPageBreak/>
              <w:t xml:space="preserve">zmiany zachowania; </w:t>
            </w:r>
          </w:p>
          <w:p w14:paraId="4CA438DF"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Motywuje do prowadzenia zdrowego stylu życia, wykorzystując zasady dialogu motywującego; </w:t>
            </w:r>
          </w:p>
          <w:p w14:paraId="53269522"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Przygotowuje razem z osobą objętą działaniem pomocowym plan wdrożenia w życie zaleceń przygotowanych przez specjalistę, np. przez dietetyka;</w:t>
            </w:r>
          </w:p>
          <w:p w14:paraId="0A341631"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Uczy technik samokontroli zachowania; </w:t>
            </w:r>
          </w:p>
          <w:p w14:paraId="0B440B4E"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Buduje z uczestnikiem plan zapobiegania nawrotom do </w:t>
            </w:r>
            <w:proofErr w:type="spellStart"/>
            <w:r w:rsidRPr="00643E6A">
              <w:rPr>
                <w:rFonts w:ascii="Cambria" w:eastAsia="Cambria" w:hAnsi="Cambria" w:cs="Cambria"/>
                <w:color w:val="000000"/>
                <w:sz w:val="20"/>
                <w:szCs w:val="20"/>
              </w:rPr>
              <w:t>zachowań</w:t>
            </w:r>
            <w:proofErr w:type="spellEnd"/>
            <w:r w:rsidRPr="00643E6A">
              <w:rPr>
                <w:rFonts w:ascii="Cambria" w:eastAsia="Cambria" w:hAnsi="Cambria" w:cs="Cambria"/>
                <w:color w:val="000000"/>
                <w:sz w:val="20"/>
                <w:szCs w:val="20"/>
              </w:rPr>
              <w:t xml:space="preserve"> niekorzystnych dla zdrowia i masy ciała; </w:t>
            </w:r>
          </w:p>
          <w:p w14:paraId="79E7FE5E" w14:textId="4C7256F9" w:rsidR="00940F31"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Prowadzi działania pomocowe względem osoby z nienormatywną masą ciała w oparciu o podręczniki samopomocowe.</w:t>
            </w:r>
          </w:p>
        </w:tc>
      </w:tr>
      <w:tr w:rsidR="00940F31" w14:paraId="383361BA" w14:textId="77777777">
        <w:trPr>
          <w:trHeight w:val="300"/>
        </w:trPr>
        <w:tc>
          <w:tcPr>
            <w:tcW w:w="1920" w:type="dxa"/>
            <w:shd w:val="clear" w:color="auto" w:fill="FFFFFF"/>
          </w:tcPr>
          <w:p w14:paraId="7A60092A" w14:textId="77777777" w:rsidR="00940F31" w:rsidRDefault="00620AE2">
            <w:pPr>
              <w:pBdr>
                <w:top w:val="nil"/>
                <w:left w:val="nil"/>
                <w:bottom w:val="nil"/>
                <w:right w:val="nil"/>
                <w:between w:val="nil"/>
              </w:pBdr>
              <w:spacing w:before="116" w:line="273" w:lineRule="auto"/>
              <w:ind w:right="325"/>
              <w:rPr>
                <w:rFonts w:ascii="Cambria" w:eastAsia="Cambria" w:hAnsi="Cambria" w:cs="Cambria"/>
                <w:sz w:val="20"/>
                <w:szCs w:val="20"/>
              </w:rPr>
            </w:pPr>
            <w:r>
              <w:rPr>
                <w:rFonts w:ascii="Cambria" w:eastAsia="Cambria" w:hAnsi="Cambria" w:cs="Cambria"/>
                <w:sz w:val="20"/>
                <w:szCs w:val="20"/>
              </w:rPr>
              <w:lastRenderedPageBreak/>
              <w:t>Prowadzi indywidualne działania pomocowe względem osób z zaburzeniami odżywiania.</w:t>
            </w:r>
          </w:p>
        </w:tc>
        <w:tc>
          <w:tcPr>
            <w:tcW w:w="7366" w:type="dxa"/>
          </w:tcPr>
          <w:p w14:paraId="7F4525F4"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Przygotowuje plan indywidualnych spotkań pomocowych; </w:t>
            </w:r>
          </w:p>
          <w:p w14:paraId="1ACDEFF0"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Motywuje osobę z zaburzeniami odżywiania do stosowania metod samopomocowych lub do podjęcia specjalistycznego leczenia; </w:t>
            </w:r>
          </w:p>
          <w:p w14:paraId="697A8C0C" w14:textId="77777777" w:rsidR="00643E6A" w:rsidRPr="00643E6A"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Wspiera osobę z zaburzeniami odżywiania w stosowaniu metod samopomocowych; </w:t>
            </w:r>
          </w:p>
          <w:p w14:paraId="3ABB22D0" w14:textId="1D5B9B9A" w:rsidR="00940F31" w:rsidRDefault="00643E6A" w:rsidP="00643E6A">
            <w:pPr>
              <w:numPr>
                <w:ilvl w:val="0"/>
                <w:numId w:val="4"/>
              </w:numPr>
              <w:pBdr>
                <w:top w:val="nil"/>
                <w:left w:val="nil"/>
                <w:bottom w:val="nil"/>
                <w:right w:val="nil"/>
                <w:between w:val="nil"/>
              </w:pBdr>
              <w:tabs>
                <w:tab w:val="left" w:pos="1190"/>
                <w:tab w:val="left" w:pos="1191"/>
              </w:tabs>
              <w:spacing w:before="120"/>
              <w:ind w:left="794" w:right="456" w:hanging="425"/>
              <w:rPr>
                <w:color w:val="000000"/>
              </w:rPr>
            </w:pPr>
            <w:r w:rsidRPr="00643E6A">
              <w:rPr>
                <w:rFonts w:ascii="Cambria" w:eastAsia="Cambria" w:hAnsi="Cambria" w:cs="Cambria"/>
                <w:color w:val="000000"/>
                <w:sz w:val="20"/>
                <w:szCs w:val="20"/>
              </w:rPr>
              <w:t>Buduje plan radzenia sobie z problemem zaburzeń odżywiania z odbiorcą działań pomocowych.</w:t>
            </w:r>
          </w:p>
        </w:tc>
      </w:tr>
      <w:tr w:rsidR="00940F31" w14:paraId="0B907491" w14:textId="77777777">
        <w:trPr>
          <w:trHeight w:val="300"/>
        </w:trPr>
        <w:tc>
          <w:tcPr>
            <w:tcW w:w="1920" w:type="dxa"/>
            <w:shd w:val="clear" w:color="auto" w:fill="FFFFFF"/>
          </w:tcPr>
          <w:p w14:paraId="2638E015" w14:textId="77777777" w:rsidR="00940F31" w:rsidRDefault="00620AE2">
            <w:pPr>
              <w:pBdr>
                <w:top w:val="nil"/>
                <w:left w:val="nil"/>
                <w:bottom w:val="nil"/>
                <w:right w:val="nil"/>
                <w:between w:val="nil"/>
              </w:pBdr>
              <w:spacing w:before="116" w:line="273" w:lineRule="auto"/>
              <w:ind w:right="325"/>
              <w:rPr>
                <w:rFonts w:ascii="Cambria" w:eastAsia="Cambria" w:hAnsi="Cambria" w:cs="Cambria"/>
                <w:sz w:val="20"/>
                <w:szCs w:val="20"/>
                <w:highlight w:val="yellow"/>
              </w:rPr>
            </w:pPr>
            <w:r>
              <w:rPr>
                <w:rFonts w:ascii="Cambria" w:eastAsia="Cambria" w:hAnsi="Cambria" w:cs="Cambria"/>
                <w:sz w:val="20"/>
                <w:szCs w:val="20"/>
              </w:rPr>
              <w:t>P</w:t>
            </w:r>
            <w:r>
              <w:rPr>
                <w:rFonts w:ascii="Cambria" w:eastAsia="Cambria" w:hAnsi="Cambria" w:cs="Cambria"/>
                <w:color w:val="000000"/>
                <w:sz w:val="20"/>
                <w:szCs w:val="20"/>
              </w:rPr>
              <w:t>rowadzi działania informacyjne na temat  możliwości uzyskania specjalistycznej pomocy w problemie nienormatywnej masy ciała i zaburzeń odżywiania.</w:t>
            </w:r>
          </w:p>
        </w:tc>
        <w:tc>
          <w:tcPr>
            <w:tcW w:w="7366" w:type="dxa"/>
          </w:tcPr>
          <w:p w14:paraId="21E22DB5" w14:textId="77777777" w:rsidR="00643E6A" w:rsidRPr="00643E6A"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Omawia dostępne metody leczenia nienormatywnej masy ciała i zaburzeń odżywiania; </w:t>
            </w:r>
          </w:p>
          <w:p w14:paraId="7D0043AE" w14:textId="77777777" w:rsidR="00643E6A" w:rsidRPr="00643E6A"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Opisuje rolę różnych specjalistów zajmujących się leczeniem nadwagi i otyłości oraz zaburzeń odżywiania; </w:t>
            </w:r>
          </w:p>
          <w:p w14:paraId="6261E567" w14:textId="0E315CA1" w:rsidR="00940F31"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sz w:val="20"/>
                <w:szCs w:val="20"/>
              </w:rPr>
            </w:pPr>
            <w:r w:rsidRPr="00643E6A">
              <w:rPr>
                <w:rFonts w:ascii="Cambria" w:eastAsia="Cambria" w:hAnsi="Cambria" w:cs="Cambria"/>
                <w:color w:val="000000"/>
                <w:sz w:val="20"/>
                <w:szCs w:val="20"/>
              </w:rPr>
              <w:t>Wskazuje konkretne miejsca w danym regionie, w których osoba z nadmierną masą ciała lub zaburzeniami odżywiania może znaleźć profesjonalną pomoc.</w:t>
            </w:r>
          </w:p>
          <w:p w14:paraId="60AA97DA" w14:textId="77777777" w:rsidR="00940F31" w:rsidRDefault="00940F31" w:rsidP="00643E6A">
            <w:pPr>
              <w:pBdr>
                <w:top w:val="nil"/>
                <w:left w:val="nil"/>
                <w:bottom w:val="nil"/>
                <w:right w:val="nil"/>
                <w:between w:val="nil"/>
              </w:pBdr>
              <w:tabs>
                <w:tab w:val="left" w:pos="1190"/>
                <w:tab w:val="left" w:pos="1191"/>
              </w:tabs>
              <w:spacing w:before="120"/>
              <w:ind w:left="794" w:right="456" w:hanging="425"/>
              <w:rPr>
                <w:rFonts w:ascii="Cambria" w:eastAsia="Cambria" w:hAnsi="Cambria" w:cs="Cambria"/>
                <w:color w:val="000000"/>
                <w:sz w:val="20"/>
                <w:szCs w:val="20"/>
              </w:rPr>
            </w:pPr>
          </w:p>
        </w:tc>
      </w:tr>
      <w:tr w:rsidR="00643E6A" w14:paraId="066E11BA" w14:textId="77777777">
        <w:trPr>
          <w:trHeight w:val="300"/>
        </w:trPr>
        <w:tc>
          <w:tcPr>
            <w:tcW w:w="1920" w:type="dxa"/>
            <w:shd w:val="clear" w:color="auto" w:fill="FFFFFF"/>
          </w:tcPr>
          <w:p w14:paraId="7511E440" w14:textId="06F108BA" w:rsidR="00643E6A" w:rsidRDefault="00643E6A">
            <w:pPr>
              <w:pBdr>
                <w:top w:val="nil"/>
                <w:left w:val="nil"/>
                <w:bottom w:val="nil"/>
                <w:right w:val="nil"/>
                <w:between w:val="nil"/>
              </w:pBdr>
              <w:spacing w:before="116" w:line="273" w:lineRule="auto"/>
              <w:ind w:right="325"/>
              <w:rPr>
                <w:rFonts w:ascii="Cambria" w:eastAsia="Cambria" w:hAnsi="Cambria" w:cs="Cambria"/>
                <w:sz w:val="20"/>
                <w:szCs w:val="20"/>
              </w:rPr>
            </w:pPr>
            <w:r w:rsidRPr="00643E6A">
              <w:rPr>
                <w:rFonts w:ascii="Cambria" w:eastAsia="Cambria" w:hAnsi="Cambria" w:cs="Cambria"/>
                <w:sz w:val="20"/>
                <w:szCs w:val="20"/>
              </w:rPr>
              <w:t>Prowadzi edukację dla rodziców i opiekunów na temat problemu nienormatywnej masy ciała i zaburzeń odżywiania, metod ich terapii oraz roli osób bliskich w procesie zdrowienia.</w:t>
            </w:r>
          </w:p>
        </w:tc>
        <w:tc>
          <w:tcPr>
            <w:tcW w:w="7366" w:type="dxa"/>
          </w:tcPr>
          <w:p w14:paraId="77425635" w14:textId="77777777" w:rsidR="00643E6A" w:rsidRPr="00643E6A"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color w:val="000000"/>
                <w:sz w:val="20"/>
                <w:szCs w:val="20"/>
              </w:rPr>
            </w:pPr>
            <w:r w:rsidRPr="00643E6A">
              <w:rPr>
                <w:rFonts w:ascii="Cambria" w:eastAsia="Cambria" w:hAnsi="Cambria" w:cs="Cambria"/>
                <w:color w:val="000000"/>
                <w:sz w:val="20"/>
                <w:szCs w:val="20"/>
              </w:rPr>
              <w:t>Omawia, jakie informacje na temat nienormatywnej masy ciała oraz zaburzeń odżywiania powinni posiadać rodzice lub opiekunowie dzieci i nastolatków dotkniętych tymi problemem, aby skutecznie je wspierać.</w:t>
            </w:r>
          </w:p>
          <w:p w14:paraId="46F21D79" w14:textId="77777777" w:rsidR="00643E6A" w:rsidRPr="00643E6A"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color w:val="000000"/>
                <w:sz w:val="20"/>
                <w:szCs w:val="20"/>
              </w:rPr>
            </w:pPr>
            <w:r w:rsidRPr="00643E6A">
              <w:rPr>
                <w:rFonts w:ascii="Cambria" w:eastAsia="Cambria" w:hAnsi="Cambria" w:cs="Cambria"/>
                <w:color w:val="000000"/>
                <w:sz w:val="20"/>
                <w:szCs w:val="20"/>
              </w:rPr>
              <w:t xml:space="preserve">Prowadzi psychoedukację skierowaną do rodziców opiekunów na temat nienormatywnej masy ciała i zaburzeń odżywiania u dzieci i nastolatków, </w:t>
            </w:r>
          </w:p>
          <w:p w14:paraId="4A6E598B" w14:textId="51618C4A" w:rsidR="00643E6A" w:rsidRPr="00643E6A" w:rsidRDefault="00643E6A" w:rsidP="00643E6A">
            <w:pPr>
              <w:numPr>
                <w:ilvl w:val="0"/>
                <w:numId w:val="15"/>
              </w:numPr>
              <w:pBdr>
                <w:top w:val="nil"/>
                <w:left w:val="nil"/>
                <w:bottom w:val="nil"/>
                <w:right w:val="nil"/>
                <w:between w:val="nil"/>
              </w:pBdr>
              <w:spacing w:before="120"/>
              <w:ind w:left="794" w:hanging="425"/>
              <w:rPr>
                <w:rFonts w:ascii="Cambria" w:eastAsia="Cambria" w:hAnsi="Cambria" w:cs="Cambria"/>
                <w:color w:val="000000"/>
                <w:sz w:val="20"/>
                <w:szCs w:val="20"/>
              </w:rPr>
            </w:pPr>
            <w:r w:rsidRPr="00643E6A">
              <w:rPr>
                <w:rFonts w:ascii="Cambria" w:eastAsia="Cambria" w:hAnsi="Cambria" w:cs="Cambria"/>
                <w:color w:val="000000"/>
                <w:sz w:val="20"/>
                <w:szCs w:val="20"/>
              </w:rPr>
              <w:t>Udziela wsparcia rodzicom i opiekunom dzieci i nastolatków dotkniętych z problemem nienormatywnej masy ciała i zaburzeń odżywiania</w:t>
            </w:r>
          </w:p>
        </w:tc>
      </w:tr>
    </w:tbl>
    <w:p w14:paraId="3FD4A782" w14:textId="77777777" w:rsidR="00940F31" w:rsidRDefault="00940F31">
      <w:pPr>
        <w:pBdr>
          <w:top w:val="nil"/>
          <w:left w:val="nil"/>
          <w:bottom w:val="nil"/>
          <w:right w:val="nil"/>
          <w:between w:val="nil"/>
        </w:pBdr>
        <w:spacing w:line="276" w:lineRule="auto"/>
        <w:rPr>
          <w:rFonts w:ascii="Cambria" w:eastAsia="Cambria" w:hAnsi="Cambria" w:cs="Cambria"/>
          <w:color w:val="000000"/>
          <w:sz w:val="20"/>
          <w:szCs w:val="20"/>
        </w:rPr>
      </w:pPr>
    </w:p>
    <w:tbl>
      <w:tblPr>
        <w:tblStyle w:val="a6"/>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1D9CD827" w14:textId="77777777">
        <w:trPr>
          <w:trHeight w:val="1220"/>
        </w:trPr>
        <w:tc>
          <w:tcPr>
            <w:tcW w:w="9286" w:type="dxa"/>
            <w:shd w:val="clear" w:color="auto" w:fill="F2F2F2"/>
          </w:tcPr>
          <w:p w14:paraId="5C2AEEFB" w14:textId="77777777" w:rsidR="00940F31" w:rsidRDefault="00620AE2">
            <w:pPr>
              <w:pBdr>
                <w:top w:val="nil"/>
                <w:left w:val="nil"/>
                <w:bottom w:val="nil"/>
                <w:right w:val="nil"/>
                <w:between w:val="nil"/>
              </w:pBdr>
              <w:spacing w:before="111"/>
              <w:ind w:left="110" w:hanging="110"/>
              <w:rPr>
                <w:rFonts w:ascii="Cambria" w:eastAsia="Cambria" w:hAnsi="Cambria" w:cs="Cambria"/>
                <w:b/>
                <w:color w:val="000000"/>
                <w:sz w:val="20"/>
                <w:szCs w:val="20"/>
              </w:rPr>
            </w:pPr>
            <w:r>
              <w:rPr>
                <w:rFonts w:ascii="Cambria" w:eastAsia="Cambria" w:hAnsi="Cambria" w:cs="Cambria"/>
                <w:b/>
                <w:color w:val="000000"/>
                <w:sz w:val="20"/>
                <w:szCs w:val="20"/>
              </w:rPr>
              <w:t>Wnioskodawca</w:t>
            </w:r>
          </w:p>
          <w:p w14:paraId="761EFB55" w14:textId="77777777" w:rsidR="00940F31" w:rsidRDefault="00620AE2">
            <w:pPr>
              <w:pBdr>
                <w:top w:val="nil"/>
                <w:left w:val="nil"/>
                <w:bottom w:val="nil"/>
                <w:right w:val="nil"/>
                <w:between w:val="nil"/>
              </w:pBdr>
              <w:spacing w:before="117"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83 ust. 1 pkt 7).Z listy rozwijanej w formularzu w ZRK należy wybrać podmiot wnioskodawcy.</w:t>
            </w:r>
          </w:p>
        </w:tc>
      </w:tr>
      <w:tr w:rsidR="00940F31" w14:paraId="67D94350" w14:textId="77777777">
        <w:trPr>
          <w:trHeight w:val="540"/>
        </w:trPr>
        <w:tc>
          <w:tcPr>
            <w:tcW w:w="9286" w:type="dxa"/>
          </w:tcPr>
          <w:p w14:paraId="251D15C7"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212121"/>
                <w:sz w:val="20"/>
                <w:szCs w:val="20"/>
              </w:rPr>
              <w:t>SWPS Uniwersytet Humanistycznospołeczny</w:t>
            </w:r>
          </w:p>
        </w:tc>
      </w:tr>
      <w:tr w:rsidR="00940F31" w14:paraId="1CA742B4" w14:textId="77777777">
        <w:trPr>
          <w:trHeight w:val="1520"/>
        </w:trPr>
        <w:tc>
          <w:tcPr>
            <w:tcW w:w="9286" w:type="dxa"/>
            <w:shd w:val="clear" w:color="auto" w:fill="F2F2F2"/>
          </w:tcPr>
          <w:p w14:paraId="14F853F8"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lastRenderedPageBreak/>
              <w:t>Minister właściwy</w:t>
            </w:r>
          </w:p>
          <w:p w14:paraId="15BA06E5" w14:textId="77777777" w:rsidR="00940F31" w:rsidRDefault="00620AE2">
            <w:pPr>
              <w:pBdr>
                <w:top w:val="nil"/>
                <w:left w:val="nil"/>
                <w:bottom w:val="nil"/>
                <w:right w:val="nil"/>
                <w:between w:val="nil"/>
              </w:pBdr>
              <w:spacing w:before="118"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16 ust. 1). Należy wskazać odpowiedniego ministra, który zdaniem wnioskodawcy jest właściwy do rozpatrzenia wniosku i po włączeniu kwalifikacji do ZSK powinien odpowiadać za kwalifikację.</w:t>
            </w:r>
          </w:p>
        </w:tc>
      </w:tr>
      <w:tr w:rsidR="00940F31" w14:paraId="18F518BD" w14:textId="77777777">
        <w:trPr>
          <w:trHeight w:val="540"/>
        </w:trPr>
        <w:tc>
          <w:tcPr>
            <w:tcW w:w="9286" w:type="dxa"/>
          </w:tcPr>
          <w:p w14:paraId="57B6C01E"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Ministerstwo Edukacji Narodowej</w:t>
            </w:r>
          </w:p>
        </w:tc>
      </w:tr>
      <w:tr w:rsidR="00940F31" w14:paraId="0E115F4B" w14:textId="77777777">
        <w:trPr>
          <w:trHeight w:val="1780"/>
        </w:trPr>
        <w:tc>
          <w:tcPr>
            <w:tcW w:w="9286" w:type="dxa"/>
            <w:shd w:val="clear" w:color="auto" w:fill="F2F2F2"/>
          </w:tcPr>
          <w:p w14:paraId="0DC2DC56"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Okres ważności dokumentu potwierdzającego nadanie kwalifikacji i warunki przedłużenia jego ważności</w:t>
            </w:r>
          </w:p>
          <w:p w14:paraId="078B8246" w14:textId="77777777" w:rsidR="00940F31" w:rsidRDefault="00620AE2">
            <w:pPr>
              <w:pBdr>
                <w:top w:val="nil"/>
                <w:left w:val="nil"/>
                <w:bottom w:val="nil"/>
                <w:right w:val="nil"/>
                <w:between w:val="nil"/>
              </w:pBdr>
              <w:spacing w:before="116" w:line="273" w:lineRule="auto"/>
              <w:ind w:left="110" w:right="74"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b). W przypadku kwalifikacji nadawanej na czas określony wskaż, po jakim czasie konieczne jest odnowienie ważności kwalifikacji oraz określ warunki, jakie muszą być spełnione, aby ważność dokumentu została przedłużona.</w:t>
            </w:r>
          </w:p>
        </w:tc>
      </w:tr>
      <w:tr w:rsidR="00940F31" w14:paraId="43E4A7FA" w14:textId="77777777">
        <w:trPr>
          <w:trHeight w:val="540"/>
        </w:trPr>
        <w:tc>
          <w:tcPr>
            <w:tcW w:w="9286" w:type="dxa"/>
          </w:tcPr>
          <w:p w14:paraId="4B818C00"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Bezterminowo</w:t>
            </w:r>
          </w:p>
        </w:tc>
      </w:tr>
      <w:tr w:rsidR="00940F31" w14:paraId="69C3CB49" w14:textId="77777777">
        <w:trPr>
          <w:trHeight w:val="920"/>
        </w:trPr>
        <w:tc>
          <w:tcPr>
            <w:tcW w:w="9286" w:type="dxa"/>
            <w:shd w:val="clear" w:color="auto" w:fill="F2F2F2"/>
          </w:tcPr>
          <w:p w14:paraId="360D02B4"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Nazwa dokumentu potwierdzającego nadanie kwalifikacji</w:t>
            </w:r>
          </w:p>
          <w:p w14:paraId="2C2D87E9"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b). Np. dyplom, świadectwo, certyfikat, zaświadczenie.</w:t>
            </w:r>
          </w:p>
        </w:tc>
      </w:tr>
      <w:tr w:rsidR="00940F31" w14:paraId="0ADDD75C" w14:textId="77777777">
        <w:trPr>
          <w:trHeight w:val="540"/>
        </w:trPr>
        <w:tc>
          <w:tcPr>
            <w:tcW w:w="9286" w:type="dxa"/>
          </w:tcPr>
          <w:p w14:paraId="175AA0F7"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Certyfikat</w:t>
            </w:r>
          </w:p>
        </w:tc>
      </w:tr>
      <w:tr w:rsidR="00940F31" w14:paraId="3FEB781E" w14:textId="77777777">
        <w:trPr>
          <w:trHeight w:val="1520"/>
        </w:trPr>
        <w:tc>
          <w:tcPr>
            <w:tcW w:w="9286" w:type="dxa"/>
            <w:shd w:val="clear" w:color="auto" w:fill="F2F2F2"/>
          </w:tcPr>
          <w:p w14:paraId="7B9B9DAA"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Uprawnienia związane z posiadaniem kwalifikacji</w:t>
            </w:r>
          </w:p>
          <w:p w14:paraId="1BFC7A45" w14:textId="77777777" w:rsidR="00940F31" w:rsidRDefault="00620AE2">
            <w:pPr>
              <w:pBdr>
                <w:top w:val="nil"/>
                <w:left w:val="nil"/>
                <w:bottom w:val="nil"/>
                <w:right w:val="nil"/>
                <w:between w:val="nil"/>
              </w:pBdr>
              <w:spacing w:before="118" w:line="273" w:lineRule="auto"/>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2) lit. e). Podaj, o jakie uprawnienia może się ubiegać osoba po uzyskaniu kwalifikacji. Jeśli z uzyskaniem kwalifikacji nie wiąże się uzyskanie uprawnień, należy wpisać "Nie dotyczy".</w:t>
            </w:r>
          </w:p>
        </w:tc>
      </w:tr>
      <w:tr w:rsidR="00940F31" w14:paraId="10E00CC7" w14:textId="77777777">
        <w:trPr>
          <w:trHeight w:val="540"/>
        </w:trPr>
        <w:tc>
          <w:tcPr>
            <w:tcW w:w="9286" w:type="dxa"/>
          </w:tcPr>
          <w:p w14:paraId="476BE293" w14:textId="77777777"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Nie dotyczy</w:t>
            </w:r>
          </w:p>
        </w:tc>
      </w:tr>
      <w:tr w:rsidR="00940F31" w14:paraId="26B0E356" w14:textId="77777777">
        <w:trPr>
          <w:trHeight w:val="500"/>
        </w:trPr>
        <w:tc>
          <w:tcPr>
            <w:tcW w:w="9286" w:type="dxa"/>
            <w:shd w:val="clear" w:color="auto" w:fill="F2F2F2"/>
          </w:tcPr>
          <w:p w14:paraId="7E56ECEE" w14:textId="77777777" w:rsidR="00940F31" w:rsidRDefault="00620AE2">
            <w:pPr>
              <w:pBdr>
                <w:top w:val="nil"/>
                <w:left w:val="nil"/>
                <w:bottom w:val="nil"/>
                <w:right w:val="nil"/>
                <w:between w:val="nil"/>
              </w:pBdr>
              <w:ind w:left="110" w:hanging="110"/>
              <w:rPr>
                <w:rFonts w:ascii="Cambria" w:eastAsia="Cambria" w:hAnsi="Cambria" w:cs="Cambria"/>
                <w:i/>
                <w:color w:val="000000"/>
                <w:sz w:val="20"/>
                <w:szCs w:val="20"/>
              </w:rPr>
            </w:pPr>
            <w:r>
              <w:rPr>
                <w:rFonts w:ascii="Cambria" w:eastAsia="Cambria" w:hAnsi="Cambria" w:cs="Cambria"/>
                <w:b/>
                <w:color w:val="000000"/>
                <w:sz w:val="20"/>
                <w:szCs w:val="20"/>
              </w:rPr>
              <w:t>Kod dziedziny kształcenia</w:t>
            </w:r>
            <w:r>
              <w:rPr>
                <w:rFonts w:ascii="Cambria" w:eastAsia="Cambria" w:hAnsi="Cambria" w:cs="Cambria"/>
                <w:i/>
                <w:color w:val="000000"/>
                <w:sz w:val="20"/>
                <w:szCs w:val="20"/>
              </w:rPr>
              <w:t xml:space="preserve"> </w:t>
            </w:r>
          </w:p>
          <w:p w14:paraId="67CC60F7" w14:textId="77777777" w:rsidR="00940F31" w:rsidRDefault="00620AE2">
            <w:pPr>
              <w:pBdr>
                <w:top w:val="nil"/>
                <w:left w:val="nil"/>
                <w:bottom w:val="nil"/>
                <w:right w:val="nil"/>
                <w:between w:val="nil"/>
              </w:pBdr>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7). Kod dziedziny kształcenia, o którym mowa w przepisach wydanych na podstawie art. 40 ust. 2 ustawy z dnia 29 czerwca 1995 r. o statystyce publicznej (Dz.U. z 2012 r. poz. 591, z późn. zm.).</w:t>
            </w:r>
          </w:p>
        </w:tc>
      </w:tr>
    </w:tbl>
    <w:p w14:paraId="6B0E1A87" w14:textId="77777777" w:rsidR="00940F31" w:rsidRDefault="00940F31">
      <w:pPr>
        <w:pBdr>
          <w:top w:val="nil"/>
          <w:left w:val="nil"/>
          <w:bottom w:val="nil"/>
          <w:right w:val="nil"/>
          <w:between w:val="nil"/>
        </w:pBdr>
        <w:spacing w:line="276" w:lineRule="auto"/>
        <w:rPr>
          <w:rFonts w:ascii="Cambria" w:eastAsia="Cambria" w:hAnsi="Cambria" w:cs="Cambria"/>
          <w:i/>
          <w:color w:val="000000"/>
          <w:sz w:val="20"/>
          <w:szCs w:val="20"/>
        </w:rPr>
      </w:pPr>
    </w:p>
    <w:tbl>
      <w:tblPr>
        <w:tblStyle w:val="a7"/>
        <w:tblW w:w="928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6"/>
      </w:tblGrid>
      <w:tr w:rsidR="00940F31" w14:paraId="414EE5B9" w14:textId="77777777">
        <w:trPr>
          <w:trHeight w:val="500"/>
        </w:trPr>
        <w:tc>
          <w:tcPr>
            <w:tcW w:w="9286" w:type="dxa"/>
          </w:tcPr>
          <w:p w14:paraId="171CA767"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311 Psychologia</w:t>
            </w:r>
          </w:p>
        </w:tc>
      </w:tr>
      <w:tr w:rsidR="00940F31" w14:paraId="361CC98E" w14:textId="77777777">
        <w:trPr>
          <w:trHeight w:val="880"/>
        </w:trPr>
        <w:tc>
          <w:tcPr>
            <w:tcW w:w="9286" w:type="dxa"/>
            <w:shd w:val="clear" w:color="auto" w:fill="F2F2F2"/>
          </w:tcPr>
          <w:p w14:paraId="0ACFB2BE" w14:textId="77777777" w:rsidR="00940F31" w:rsidRDefault="00620AE2">
            <w:pPr>
              <w:pBdr>
                <w:top w:val="nil"/>
                <w:left w:val="nil"/>
                <w:bottom w:val="nil"/>
                <w:right w:val="nil"/>
                <w:between w:val="nil"/>
              </w:pBdr>
              <w:spacing w:before="116"/>
              <w:ind w:left="110" w:hanging="110"/>
              <w:rPr>
                <w:rFonts w:ascii="Cambria" w:eastAsia="Cambria" w:hAnsi="Cambria" w:cs="Cambria"/>
                <w:b/>
                <w:color w:val="000000"/>
                <w:sz w:val="20"/>
                <w:szCs w:val="20"/>
              </w:rPr>
            </w:pPr>
            <w:r>
              <w:rPr>
                <w:rFonts w:ascii="Cambria" w:eastAsia="Cambria" w:hAnsi="Cambria" w:cs="Cambria"/>
                <w:b/>
                <w:color w:val="000000"/>
                <w:sz w:val="20"/>
                <w:szCs w:val="20"/>
              </w:rPr>
              <w:t>Kod PKD</w:t>
            </w:r>
          </w:p>
          <w:p w14:paraId="5D08CFE7" w14:textId="77777777" w:rsidR="00940F31" w:rsidRDefault="00620AE2">
            <w:pPr>
              <w:pBdr>
                <w:top w:val="nil"/>
                <w:left w:val="nil"/>
                <w:bottom w:val="nil"/>
                <w:right w:val="nil"/>
                <w:between w:val="nil"/>
              </w:pBdr>
              <w:spacing w:before="118"/>
              <w:ind w:left="110" w:hanging="110"/>
              <w:rPr>
                <w:rFonts w:ascii="Cambria" w:eastAsia="Cambria" w:hAnsi="Cambria" w:cs="Cambria"/>
                <w:i/>
                <w:color w:val="000000"/>
                <w:sz w:val="20"/>
                <w:szCs w:val="20"/>
              </w:rPr>
            </w:pPr>
            <w:r>
              <w:rPr>
                <w:rFonts w:ascii="Cambria" w:eastAsia="Cambria" w:hAnsi="Cambria" w:cs="Cambria"/>
                <w:i/>
                <w:color w:val="000000"/>
                <w:sz w:val="20"/>
                <w:szCs w:val="20"/>
              </w:rPr>
              <w:t>Pole obowiązkowe (art. 15 ust. 1 pkt 7). Kod Polskiej Klasyfikacji Działalności (PKD).</w:t>
            </w:r>
          </w:p>
        </w:tc>
      </w:tr>
      <w:tr w:rsidR="00940F31" w14:paraId="3831DA42" w14:textId="77777777">
        <w:trPr>
          <w:trHeight w:val="500"/>
        </w:trPr>
        <w:tc>
          <w:tcPr>
            <w:tcW w:w="9286" w:type="dxa"/>
          </w:tcPr>
          <w:p w14:paraId="096D1100" w14:textId="3B7D402F" w:rsidR="00940F31" w:rsidRDefault="00620AE2">
            <w:pPr>
              <w:pBdr>
                <w:top w:val="nil"/>
                <w:left w:val="nil"/>
                <w:bottom w:val="nil"/>
                <w:right w:val="nil"/>
                <w:between w:val="nil"/>
              </w:pBdr>
              <w:spacing w:before="116"/>
              <w:ind w:left="110" w:hanging="110"/>
              <w:rPr>
                <w:rFonts w:ascii="Cambria" w:eastAsia="Cambria" w:hAnsi="Cambria" w:cs="Cambria"/>
                <w:color w:val="000000"/>
                <w:sz w:val="20"/>
                <w:szCs w:val="20"/>
              </w:rPr>
            </w:pPr>
            <w:r>
              <w:rPr>
                <w:rFonts w:ascii="Cambria" w:eastAsia="Cambria" w:hAnsi="Cambria" w:cs="Cambria"/>
                <w:color w:val="000000"/>
                <w:sz w:val="20"/>
                <w:szCs w:val="20"/>
              </w:rPr>
              <w:t>PKD 86.90.E</w:t>
            </w:r>
            <w:r w:rsidR="00643E6A">
              <w:t xml:space="preserve"> - </w:t>
            </w:r>
            <w:bookmarkStart w:id="4" w:name="_GoBack"/>
            <w:bookmarkEnd w:id="4"/>
            <w:r w:rsidR="00643E6A" w:rsidRPr="00643E6A">
              <w:rPr>
                <w:rFonts w:ascii="Cambria" w:eastAsia="Cambria" w:hAnsi="Cambria" w:cs="Cambria"/>
                <w:color w:val="000000"/>
                <w:sz w:val="20"/>
                <w:szCs w:val="20"/>
              </w:rPr>
              <w:t>Pozostała działalność w zakresie opieki zdrowotnej, gdzie indziej niesklasyfikowana</w:t>
            </w:r>
          </w:p>
        </w:tc>
      </w:tr>
    </w:tbl>
    <w:p w14:paraId="6B8EE4B9" w14:textId="77777777" w:rsidR="00940F31" w:rsidRDefault="00940F31">
      <w:pPr>
        <w:pBdr>
          <w:top w:val="nil"/>
          <w:left w:val="nil"/>
          <w:bottom w:val="nil"/>
          <w:right w:val="nil"/>
          <w:between w:val="nil"/>
        </w:pBdr>
        <w:spacing w:line="276" w:lineRule="auto"/>
        <w:rPr>
          <w:rFonts w:ascii="Cambria" w:eastAsia="Cambria" w:hAnsi="Cambria" w:cs="Cambria"/>
          <w:color w:val="000000"/>
          <w:sz w:val="20"/>
          <w:szCs w:val="20"/>
        </w:rPr>
      </w:pPr>
    </w:p>
    <w:sectPr w:rsidR="00940F31">
      <w:pgSz w:w="11900" w:h="16840"/>
      <w:pgMar w:top="1340" w:right="1080" w:bottom="280" w:left="1300" w:header="360" w:footer="36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703"/>
    <w:multiLevelType w:val="hybridMultilevel"/>
    <w:tmpl w:val="2104D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82545B"/>
    <w:multiLevelType w:val="multilevel"/>
    <w:tmpl w:val="EF44C014"/>
    <w:lvl w:ilvl="0">
      <w:start w:val="1"/>
      <w:numFmt w:val="bullet"/>
      <w:lvlText w:val=""/>
      <w:lvlJc w:val="left"/>
      <w:pPr>
        <w:ind w:left="720" w:hanging="720"/>
      </w:pPr>
      <w:rPr>
        <w:rFonts w:ascii="Symbol" w:hAnsi="Symbol" w:hint="default"/>
        <w:b/>
        <w:sz w:val="20"/>
        <w:szCs w:val="20"/>
      </w:rPr>
    </w:lvl>
    <w:lvl w:ilvl="1">
      <w:start w:val="1"/>
      <w:numFmt w:val="bullet"/>
      <w:lvlText w:val="•"/>
      <w:lvlJc w:val="left"/>
      <w:pPr>
        <w:ind w:left="681" w:hanging="720"/>
      </w:pPr>
    </w:lvl>
    <w:lvl w:ilvl="2">
      <w:start w:val="1"/>
      <w:numFmt w:val="bullet"/>
      <w:lvlText w:val="•"/>
      <w:lvlJc w:val="left"/>
      <w:pPr>
        <w:ind w:left="1297" w:hanging="720"/>
      </w:pPr>
    </w:lvl>
    <w:lvl w:ilvl="3">
      <w:start w:val="1"/>
      <w:numFmt w:val="bullet"/>
      <w:lvlText w:val="•"/>
      <w:lvlJc w:val="left"/>
      <w:pPr>
        <w:ind w:left="1912" w:hanging="720"/>
      </w:pPr>
    </w:lvl>
    <w:lvl w:ilvl="4">
      <w:start w:val="1"/>
      <w:numFmt w:val="bullet"/>
      <w:lvlText w:val="•"/>
      <w:lvlJc w:val="left"/>
      <w:pPr>
        <w:ind w:left="2528" w:hanging="720"/>
      </w:pPr>
    </w:lvl>
    <w:lvl w:ilvl="5">
      <w:start w:val="1"/>
      <w:numFmt w:val="bullet"/>
      <w:lvlText w:val="•"/>
      <w:lvlJc w:val="left"/>
      <w:pPr>
        <w:ind w:left="3144" w:hanging="720"/>
      </w:pPr>
    </w:lvl>
    <w:lvl w:ilvl="6">
      <w:start w:val="1"/>
      <w:numFmt w:val="bullet"/>
      <w:lvlText w:val="•"/>
      <w:lvlJc w:val="left"/>
      <w:pPr>
        <w:ind w:left="3759" w:hanging="720"/>
      </w:pPr>
    </w:lvl>
    <w:lvl w:ilvl="7">
      <w:start w:val="1"/>
      <w:numFmt w:val="bullet"/>
      <w:lvlText w:val="•"/>
      <w:lvlJc w:val="left"/>
      <w:pPr>
        <w:ind w:left="4375" w:hanging="720"/>
      </w:pPr>
    </w:lvl>
    <w:lvl w:ilvl="8">
      <w:start w:val="1"/>
      <w:numFmt w:val="bullet"/>
      <w:lvlText w:val="•"/>
      <w:lvlJc w:val="left"/>
      <w:pPr>
        <w:ind w:left="4990" w:hanging="720"/>
      </w:pPr>
    </w:lvl>
  </w:abstractNum>
  <w:abstractNum w:abstractNumId="2" w15:restartNumberingAfterBreak="0">
    <w:nsid w:val="0D95520B"/>
    <w:multiLevelType w:val="multilevel"/>
    <w:tmpl w:val="934691D2"/>
    <w:lvl w:ilvl="0">
      <w:start w:val="1"/>
      <w:numFmt w:val="bullet"/>
      <w:lvlText w:val="−"/>
      <w:lvlJc w:val="left"/>
      <w:pPr>
        <w:ind w:left="830" w:hanging="360"/>
      </w:pPr>
      <w:rPr>
        <w:rFonts w:ascii="Arial" w:eastAsia="Arial" w:hAnsi="Arial" w:cs="Arial"/>
        <w:sz w:val="22"/>
        <w:szCs w:val="22"/>
      </w:rPr>
    </w:lvl>
    <w:lvl w:ilvl="1">
      <w:start w:val="1"/>
      <w:numFmt w:val="bullet"/>
      <w:lvlText w:val="•"/>
      <w:lvlJc w:val="left"/>
      <w:pPr>
        <w:ind w:left="1683" w:hanging="360"/>
      </w:pPr>
    </w:lvl>
    <w:lvl w:ilvl="2">
      <w:start w:val="1"/>
      <w:numFmt w:val="bullet"/>
      <w:lvlText w:val="•"/>
      <w:lvlJc w:val="left"/>
      <w:pPr>
        <w:ind w:left="2527" w:hanging="360"/>
      </w:pPr>
    </w:lvl>
    <w:lvl w:ilvl="3">
      <w:start w:val="1"/>
      <w:numFmt w:val="bullet"/>
      <w:lvlText w:val="•"/>
      <w:lvlJc w:val="left"/>
      <w:pPr>
        <w:ind w:left="3370" w:hanging="360"/>
      </w:pPr>
    </w:lvl>
    <w:lvl w:ilvl="4">
      <w:start w:val="1"/>
      <w:numFmt w:val="bullet"/>
      <w:lvlText w:val="•"/>
      <w:lvlJc w:val="left"/>
      <w:pPr>
        <w:ind w:left="4214" w:hanging="360"/>
      </w:pPr>
    </w:lvl>
    <w:lvl w:ilvl="5">
      <w:start w:val="1"/>
      <w:numFmt w:val="bullet"/>
      <w:lvlText w:val="•"/>
      <w:lvlJc w:val="left"/>
      <w:pPr>
        <w:ind w:left="5058" w:hanging="360"/>
      </w:pPr>
    </w:lvl>
    <w:lvl w:ilvl="6">
      <w:start w:val="1"/>
      <w:numFmt w:val="bullet"/>
      <w:lvlText w:val="•"/>
      <w:lvlJc w:val="left"/>
      <w:pPr>
        <w:ind w:left="5901" w:hanging="360"/>
      </w:pPr>
    </w:lvl>
    <w:lvl w:ilvl="7">
      <w:start w:val="1"/>
      <w:numFmt w:val="bullet"/>
      <w:lvlText w:val="•"/>
      <w:lvlJc w:val="left"/>
      <w:pPr>
        <w:ind w:left="6745" w:hanging="360"/>
      </w:pPr>
    </w:lvl>
    <w:lvl w:ilvl="8">
      <w:start w:val="1"/>
      <w:numFmt w:val="bullet"/>
      <w:lvlText w:val="•"/>
      <w:lvlJc w:val="left"/>
      <w:pPr>
        <w:ind w:left="7588" w:hanging="360"/>
      </w:pPr>
    </w:lvl>
  </w:abstractNum>
  <w:abstractNum w:abstractNumId="3" w15:restartNumberingAfterBreak="0">
    <w:nsid w:val="10C7568C"/>
    <w:multiLevelType w:val="multilevel"/>
    <w:tmpl w:val="237EF214"/>
    <w:lvl w:ilvl="0">
      <w:start w:val="1"/>
      <w:numFmt w:val="bullet"/>
      <w:lvlText w:val=""/>
      <w:lvlJc w:val="left"/>
      <w:pPr>
        <w:ind w:left="720" w:hanging="720"/>
      </w:pPr>
      <w:rPr>
        <w:rFonts w:ascii="Symbol" w:hAnsi="Symbol" w:hint="default"/>
        <w:b/>
        <w:sz w:val="20"/>
        <w:szCs w:val="20"/>
      </w:rPr>
    </w:lvl>
    <w:lvl w:ilvl="1">
      <w:start w:val="1"/>
      <w:numFmt w:val="bullet"/>
      <w:lvlText w:val="•"/>
      <w:lvlJc w:val="left"/>
      <w:pPr>
        <w:ind w:left="681" w:hanging="720"/>
      </w:pPr>
    </w:lvl>
    <w:lvl w:ilvl="2">
      <w:start w:val="1"/>
      <w:numFmt w:val="bullet"/>
      <w:lvlText w:val="•"/>
      <w:lvlJc w:val="left"/>
      <w:pPr>
        <w:ind w:left="1297" w:hanging="720"/>
      </w:pPr>
    </w:lvl>
    <w:lvl w:ilvl="3">
      <w:start w:val="1"/>
      <w:numFmt w:val="bullet"/>
      <w:lvlText w:val="•"/>
      <w:lvlJc w:val="left"/>
      <w:pPr>
        <w:ind w:left="1912" w:hanging="720"/>
      </w:pPr>
    </w:lvl>
    <w:lvl w:ilvl="4">
      <w:start w:val="1"/>
      <w:numFmt w:val="bullet"/>
      <w:lvlText w:val="•"/>
      <w:lvlJc w:val="left"/>
      <w:pPr>
        <w:ind w:left="2528" w:hanging="720"/>
      </w:pPr>
    </w:lvl>
    <w:lvl w:ilvl="5">
      <w:start w:val="1"/>
      <w:numFmt w:val="bullet"/>
      <w:lvlText w:val="•"/>
      <w:lvlJc w:val="left"/>
      <w:pPr>
        <w:ind w:left="3144" w:hanging="720"/>
      </w:pPr>
    </w:lvl>
    <w:lvl w:ilvl="6">
      <w:start w:val="1"/>
      <w:numFmt w:val="bullet"/>
      <w:lvlText w:val="•"/>
      <w:lvlJc w:val="left"/>
      <w:pPr>
        <w:ind w:left="3759" w:hanging="720"/>
      </w:pPr>
    </w:lvl>
    <w:lvl w:ilvl="7">
      <w:start w:val="1"/>
      <w:numFmt w:val="bullet"/>
      <w:lvlText w:val="•"/>
      <w:lvlJc w:val="left"/>
      <w:pPr>
        <w:ind w:left="4375" w:hanging="720"/>
      </w:pPr>
    </w:lvl>
    <w:lvl w:ilvl="8">
      <w:start w:val="1"/>
      <w:numFmt w:val="bullet"/>
      <w:lvlText w:val="•"/>
      <w:lvlJc w:val="left"/>
      <w:pPr>
        <w:ind w:left="4990" w:hanging="720"/>
      </w:pPr>
    </w:lvl>
  </w:abstractNum>
  <w:abstractNum w:abstractNumId="4" w15:restartNumberingAfterBreak="0">
    <w:nsid w:val="1EF37B69"/>
    <w:multiLevelType w:val="multilevel"/>
    <w:tmpl w:val="5F968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D058BA"/>
    <w:multiLevelType w:val="multilevel"/>
    <w:tmpl w:val="1C88D76A"/>
    <w:lvl w:ilvl="0">
      <w:start w:val="1"/>
      <w:numFmt w:val="bullet"/>
      <w:lvlText w:val="•"/>
      <w:lvlJc w:val="left"/>
      <w:pPr>
        <w:ind w:left="720" w:hanging="720"/>
      </w:pPr>
      <w:rPr>
        <w:rFonts w:ascii="Cambria" w:eastAsia="Cambria" w:hAnsi="Cambria" w:cs="Cambria"/>
        <w:b/>
        <w:sz w:val="20"/>
        <w:szCs w:val="20"/>
      </w:rPr>
    </w:lvl>
    <w:lvl w:ilvl="1">
      <w:start w:val="1"/>
      <w:numFmt w:val="bullet"/>
      <w:lvlText w:val="•"/>
      <w:lvlJc w:val="left"/>
      <w:pPr>
        <w:ind w:left="681" w:hanging="720"/>
      </w:pPr>
    </w:lvl>
    <w:lvl w:ilvl="2">
      <w:start w:val="1"/>
      <w:numFmt w:val="bullet"/>
      <w:lvlText w:val="•"/>
      <w:lvlJc w:val="left"/>
      <w:pPr>
        <w:ind w:left="1297" w:hanging="720"/>
      </w:pPr>
    </w:lvl>
    <w:lvl w:ilvl="3">
      <w:start w:val="1"/>
      <w:numFmt w:val="bullet"/>
      <w:lvlText w:val="•"/>
      <w:lvlJc w:val="left"/>
      <w:pPr>
        <w:ind w:left="1912" w:hanging="720"/>
      </w:pPr>
    </w:lvl>
    <w:lvl w:ilvl="4">
      <w:start w:val="1"/>
      <w:numFmt w:val="bullet"/>
      <w:lvlText w:val="•"/>
      <w:lvlJc w:val="left"/>
      <w:pPr>
        <w:ind w:left="2528" w:hanging="720"/>
      </w:pPr>
    </w:lvl>
    <w:lvl w:ilvl="5">
      <w:start w:val="1"/>
      <w:numFmt w:val="bullet"/>
      <w:lvlText w:val="•"/>
      <w:lvlJc w:val="left"/>
      <w:pPr>
        <w:ind w:left="3144" w:hanging="720"/>
      </w:pPr>
    </w:lvl>
    <w:lvl w:ilvl="6">
      <w:start w:val="1"/>
      <w:numFmt w:val="bullet"/>
      <w:lvlText w:val="•"/>
      <w:lvlJc w:val="left"/>
      <w:pPr>
        <w:ind w:left="3759" w:hanging="720"/>
      </w:pPr>
    </w:lvl>
    <w:lvl w:ilvl="7">
      <w:start w:val="1"/>
      <w:numFmt w:val="bullet"/>
      <w:lvlText w:val="•"/>
      <w:lvlJc w:val="left"/>
      <w:pPr>
        <w:ind w:left="4375" w:hanging="720"/>
      </w:pPr>
    </w:lvl>
    <w:lvl w:ilvl="8">
      <w:start w:val="1"/>
      <w:numFmt w:val="bullet"/>
      <w:lvlText w:val="•"/>
      <w:lvlJc w:val="left"/>
      <w:pPr>
        <w:ind w:left="4990" w:hanging="720"/>
      </w:pPr>
    </w:lvl>
  </w:abstractNum>
  <w:abstractNum w:abstractNumId="6" w15:restartNumberingAfterBreak="0">
    <w:nsid w:val="350820AD"/>
    <w:multiLevelType w:val="multilevel"/>
    <w:tmpl w:val="8294CC5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EC4313"/>
    <w:multiLevelType w:val="multilevel"/>
    <w:tmpl w:val="C8E0B316"/>
    <w:lvl w:ilvl="0">
      <w:start w:val="1"/>
      <w:numFmt w:val="bullet"/>
      <w:lvlText w:val="●"/>
      <w:lvlJc w:val="left"/>
      <w:pPr>
        <w:ind w:left="1190" w:hanging="720"/>
      </w:pPr>
      <w:rPr>
        <w:rFonts w:ascii="Noto Sans Symbols" w:eastAsia="Noto Sans Symbols" w:hAnsi="Noto Sans Symbols" w:cs="Noto Sans Symbols"/>
        <w:b/>
        <w:sz w:val="22"/>
        <w:szCs w:val="22"/>
      </w:rPr>
    </w:lvl>
    <w:lvl w:ilvl="1">
      <w:start w:val="1"/>
      <w:numFmt w:val="bullet"/>
      <w:lvlText w:val="•"/>
      <w:lvlJc w:val="left"/>
      <w:pPr>
        <w:ind w:left="1815" w:hanging="720"/>
      </w:pPr>
    </w:lvl>
    <w:lvl w:ilvl="2">
      <w:start w:val="1"/>
      <w:numFmt w:val="bullet"/>
      <w:lvlText w:val="•"/>
      <w:lvlJc w:val="left"/>
      <w:pPr>
        <w:ind w:left="2431" w:hanging="720"/>
      </w:pPr>
    </w:lvl>
    <w:lvl w:ilvl="3">
      <w:start w:val="1"/>
      <w:numFmt w:val="bullet"/>
      <w:lvlText w:val="•"/>
      <w:lvlJc w:val="left"/>
      <w:pPr>
        <w:ind w:left="3046" w:hanging="720"/>
      </w:pPr>
    </w:lvl>
    <w:lvl w:ilvl="4">
      <w:start w:val="1"/>
      <w:numFmt w:val="bullet"/>
      <w:lvlText w:val="•"/>
      <w:lvlJc w:val="left"/>
      <w:pPr>
        <w:ind w:left="3662" w:hanging="720"/>
      </w:pPr>
    </w:lvl>
    <w:lvl w:ilvl="5">
      <w:start w:val="1"/>
      <w:numFmt w:val="bullet"/>
      <w:lvlText w:val="•"/>
      <w:lvlJc w:val="left"/>
      <w:pPr>
        <w:ind w:left="4278" w:hanging="720"/>
      </w:pPr>
    </w:lvl>
    <w:lvl w:ilvl="6">
      <w:start w:val="1"/>
      <w:numFmt w:val="bullet"/>
      <w:lvlText w:val="•"/>
      <w:lvlJc w:val="left"/>
      <w:pPr>
        <w:ind w:left="4893" w:hanging="720"/>
      </w:pPr>
    </w:lvl>
    <w:lvl w:ilvl="7">
      <w:start w:val="1"/>
      <w:numFmt w:val="bullet"/>
      <w:lvlText w:val="•"/>
      <w:lvlJc w:val="left"/>
      <w:pPr>
        <w:ind w:left="5509" w:hanging="720"/>
      </w:pPr>
    </w:lvl>
    <w:lvl w:ilvl="8">
      <w:start w:val="1"/>
      <w:numFmt w:val="bullet"/>
      <w:lvlText w:val="•"/>
      <w:lvlJc w:val="left"/>
      <w:pPr>
        <w:ind w:left="6124" w:hanging="720"/>
      </w:pPr>
    </w:lvl>
  </w:abstractNum>
  <w:abstractNum w:abstractNumId="8" w15:restartNumberingAfterBreak="0">
    <w:nsid w:val="4800638C"/>
    <w:multiLevelType w:val="multilevel"/>
    <w:tmpl w:val="9FE460AC"/>
    <w:lvl w:ilvl="0">
      <w:start w:val="1"/>
      <w:numFmt w:val="bullet"/>
      <w:lvlText w:val="●"/>
      <w:lvlJc w:val="left"/>
      <w:pPr>
        <w:ind w:left="1190" w:hanging="720"/>
      </w:pPr>
      <w:rPr>
        <w:rFonts w:ascii="Noto Sans Symbols" w:eastAsia="Noto Sans Symbols" w:hAnsi="Noto Sans Symbols" w:cs="Noto Sans Symbols"/>
        <w:b/>
        <w:sz w:val="20"/>
        <w:szCs w:val="20"/>
      </w:rPr>
    </w:lvl>
    <w:lvl w:ilvl="1">
      <w:start w:val="1"/>
      <w:numFmt w:val="bullet"/>
      <w:lvlText w:val="•"/>
      <w:lvlJc w:val="left"/>
      <w:pPr>
        <w:ind w:left="1815" w:hanging="720"/>
      </w:pPr>
    </w:lvl>
    <w:lvl w:ilvl="2">
      <w:start w:val="1"/>
      <w:numFmt w:val="bullet"/>
      <w:lvlText w:val="•"/>
      <w:lvlJc w:val="left"/>
      <w:pPr>
        <w:ind w:left="2431" w:hanging="720"/>
      </w:pPr>
    </w:lvl>
    <w:lvl w:ilvl="3">
      <w:start w:val="1"/>
      <w:numFmt w:val="bullet"/>
      <w:lvlText w:val="•"/>
      <w:lvlJc w:val="left"/>
      <w:pPr>
        <w:ind w:left="3046" w:hanging="720"/>
      </w:pPr>
    </w:lvl>
    <w:lvl w:ilvl="4">
      <w:start w:val="1"/>
      <w:numFmt w:val="bullet"/>
      <w:lvlText w:val="•"/>
      <w:lvlJc w:val="left"/>
      <w:pPr>
        <w:ind w:left="3662" w:hanging="720"/>
      </w:pPr>
    </w:lvl>
    <w:lvl w:ilvl="5">
      <w:start w:val="1"/>
      <w:numFmt w:val="bullet"/>
      <w:lvlText w:val="•"/>
      <w:lvlJc w:val="left"/>
      <w:pPr>
        <w:ind w:left="4278" w:hanging="720"/>
      </w:pPr>
    </w:lvl>
    <w:lvl w:ilvl="6">
      <w:start w:val="1"/>
      <w:numFmt w:val="bullet"/>
      <w:lvlText w:val="•"/>
      <w:lvlJc w:val="left"/>
      <w:pPr>
        <w:ind w:left="4893" w:hanging="720"/>
      </w:pPr>
    </w:lvl>
    <w:lvl w:ilvl="7">
      <w:start w:val="1"/>
      <w:numFmt w:val="bullet"/>
      <w:lvlText w:val="•"/>
      <w:lvlJc w:val="left"/>
      <w:pPr>
        <w:ind w:left="5509" w:hanging="720"/>
      </w:pPr>
    </w:lvl>
    <w:lvl w:ilvl="8">
      <w:start w:val="1"/>
      <w:numFmt w:val="bullet"/>
      <w:lvlText w:val="•"/>
      <w:lvlJc w:val="left"/>
      <w:pPr>
        <w:ind w:left="6124" w:hanging="720"/>
      </w:pPr>
    </w:lvl>
  </w:abstractNum>
  <w:abstractNum w:abstractNumId="9" w15:restartNumberingAfterBreak="0">
    <w:nsid w:val="541C6C75"/>
    <w:multiLevelType w:val="multilevel"/>
    <w:tmpl w:val="43603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9E74365"/>
    <w:multiLevelType w:val="multilevel"/>
    <w:tmpl w:val="9AD669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022AA0"/>
    <w:multiLevelType w:val="multilevel"/>
    <w:tmpl w:val="C9EC1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D4564F8"/>
    <w:multiLevelType w:val="multilevel"/>
    <w:tmpl w:val="99C0F826"/>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6B85AFF"/>
    <w:multiLevelType w:val="multilevel"/>
    <w:tmpl w:val="AF606F18"/>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B7137A"/>
    <w:multiLevelType w:val="hybridMultilevel"/>
    <w:tmpl w:val="A33A6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D4248E"/>
    <w:multiLevelType w:val="multilevel"/>
    <w:tmpl w:val="30324620"/>
    <w:lvl w:ilvl="0">
      <w:start w:val="1"/>
      <w:numFmt w:val="bullet"/>
      <w:lvlText w:val="−"/>
      <w:lvlJc w:val="left"/>
      <w:pPr>
        <w:ind w:left="830" w:hanging="360"/>
      </w:pPr>
      <w:rPr>
        <w:rFonts w:ascii="Arial" w:eastAsia="Arial" w:hAnsi="Arial" w:cs="Arial"/>
        <w:sz w:val="22"/>
        <w:szCs w:val="22"/>
      </w:rPr>
    </w:lvl>
    <w:lvl w:ilvl="1">
      <w:start w:val="1"/>
      <w:numFmt w:val="bullet"/>
      <w:lvlText w:val="•"/>
      <w:lvlJc w:val="left"/>
      <w:pPr>
        <w:ind w:left="1683" w:hanging="360"/>
      </w:pPr>
    </w:lvl>
    <w:lvl w:ilvl="2">
      <w:start w:val="1"/>
      <w:numFmt w:val="bullet"/>
      <w:lvlText w:val="•"/>
      <w:lvlJc w:val="left"/>
      <w:pPr>
        <w:ind w:left="2527" w:hanging="360"/>
      </w:pPr>
    </w:lvl>
    <w:lvl w:ilvl="3">
      <w:start w:val="1"/>
      <w:numFmt w:val="bullet"/>
      <w:lvlText w:val="•"/>
      <w:lvlJc w:val="left"/>
      <w:pPr>
        <w:ind w:left="3370" w:hanging="360"/>
      </w:pPr>
    </w:lvl>
    <w:lvl w:ilvl="4">
      <w:start w:val="1"/>
      <w:numFmt w:val="bullet"/>
      <w:lvlText w:val="•"/>
      <w:lvlJc w:val="left"/>
      <w:pPr>
        <w:ind w:left="4214" w:hanging="360"/>
      </w:pPr>
    </w:lvl>
    <w:lvl w:ilvl="5">
      <w:start w:val="1"/>
      <w:numFmt w:val="bullet"/>
      <w:lvlText w:val="•"/>
      <w:lvlJc w:val="left"/>
      <w:pPr>
        <w:ind w:left="5058" w:hanging="360"/>
      </w:pPr>
    </w:lvl>
    <w:lvl w:ilvl="6">
      <w:start w:val="1"/>
      <w:numFmt w:val="bullet"/>
      <w:lvlText w:val="•"/>
      <w:lvlJc w:val="left"/>
      <w:pPr>
        <w:ind w:left="5901" w:hanging="360"/>
      </w:pPr>
    </w:lvl>
    <w:lvl w:ilvl="7">
      <w:start w:val="1"/>
      <w:numFmt w:val="bullet"/>
      <w:lvlText w:val="•"/>
      <w:lvlJc w:val="left"/>
      <w:pPr>
        <w:ind w:left="6745" w:hanging="360"/>
      </w:pPr>
    </w:lvl>
    <w:lvl w:ilvl="8">
      <w:start w:val="1"/>
      <w:numFmt w:val="bullet"/>
      <w:lvlText w:val="•"/>
      <w:lvlJc w:val="left"/>
      <w:pPr>
        <w:ind w:left="7588" w:hanging="360"/>
      </w:pPr>
    </w:lvl>
  </w:abstractNum>
  <w:abstractNum w:abstractNumId="16" w15:restartNumberingAfterBreak="0">
    <w:nsid w:val="6B6B259C"/>
    <w:multiLevelType w:val="multilevel"/>
    <w:tmpl w:val="2C122AEA"/>
    <w:lvl w:ilvl="0">
      <w:start w:val="1"/>
      <w:numFmt w:val="bullet"/>
      <w:lvlText w:val="−"/>
      <w:lvlJc w:val="left"/>
      <w:pPr>
        <w:ind w:left="830" w:hanging="360"/>
      </w:pPr>
      <w:rPr>
        <w:rFonts w:ascii="Arial" w:eastAsia="Arial" w:hAnsi="Arial" w:cs="Arial"/>
        <w:sz w:val="22"/>
        <w:szCs w:val="22"/>
      </w:rPr>
    </w:lvl>
    <w:lvl w:ilvl="1">
      <w:start w:val="1"/>
      <w:numFmt w:val="bullet"/>
      <w:lvlText w:val="•"/>
      <w:lvlJc w:val="left"/>
      <w:pPr>
        <w:ind w:left="1683" w:hanging="360"/>
      </w:pPr>
    </w:lvl>
    <w:lvl w:ilvl="2">
      <w:start w:val="1"/>
      <w:numFmt w:val="bullet"/>
      <w:lvlText w:val="•"/>
      <w:lvlJc w:val="left"/>
      <w:pPr>
        <w:ind w:left="2527" w:hanging="360"/>
      </w:pPr>
    </w:lvl>
    <w:lvl w:ilvl="3">
      <w:start w:val="1"/>
      <w:numFmt w:val="bullet"/>
      <w:lvlText w:val="•"/>
      <w:lvlJc w:val="left"/>
      <w:pPr>
        <w:ind w:left="3370" w:hanging="360"/>
      </w:pPr>
    </w:lvl>
    <w:lvl w:ilvl="4">
      <w:start w:val="1"/>
      <w:numFmt w:val="bullet"/>
      <w:lvlText w:val="•"/>
      <w:lvlJc w:val="left"/>
      <w:pPr>
        <w:ind w:left="4214" w:hanging="360"/>
      </w:pPr>
    </w:lvl>
    <w:lvl w:ilvl="5">
      <w:start w:val="1"/>
      <w:numFmt w:val="bullet"/>
      <w:lvlText w:val="•"/>
      <w:lvlJc w:val="left"/>
      <w:pPr>
        <w:ind w:left="5058" w:hanging="360"/>
      </w:pPr>
    </w:lvl>
    <w:lvl w:ilvl="6">
      <w:start w:val="1"/>
      <w:numFmt w:val="bullet"/>
      <w:lvlText w:val="•"/>
      <w:lvlJc w:val="left"/>
      <w:pPr>
        <w:ind w:left="5901" w:hanging="360"/>
      </w:pPr>
    </w:lvl>
    <w:lvl w:ilvl="7">
      <w:start w:val="1"/>
      <w:numFmt w:val="bullet"/>
      <w:lvlText w:val="•"/>
      <w:lvlJc w:val="left"/>
      <w:pPr>
        <w:ind w:left="6745" w:hanging="360"/>
      </w:pPr>
    </w:lvl>
    <w:lvl w:ilvl="8">
      <w:start w:val="1"/>
      <w:numFmt w:val="bullet"/>
      <w:lvlText w:val="•"/>
      <w:lvlJc w:val="left"/>
      <w:pPr>
        <w:ind w:left="7588" w:hanging="360"/>
      </w:pPr>
    </w:lvl>
  </w:abstractNum>
  <w:abstractNum w:abstractNumId="17" w15:restartNumberingAfterBreak="0">
    <w:nsid w:val="6DB80051"/>
    <w:multiLevelType w:val="multilevel"/>
    <w:tmpl w:val="8982E586"/>
    <w:lvl w:ilvl="0">
      <w:start w:val="1"/>
      <w:numFmt w:val="bullet"/>
      <w:lvlText w:val="−"/>
      <w:lvlJc w:val="left"/>
      <w:pPr>
        <w:ind w:left="830" w:hanging="360"/>
      </w:pPr>
      <w:rPr>
        <w:rFonts w:ascii="Arial" w:eastAsia="Arial" w:hAnsi="Arial" w:cs="Arial"/>
        <w:sz w:val="22"/>
        <w:szCs w:val="22"/>
      </w:rPr>
    </w:lvl>
    <w:lvl w:ilvl="1">
      <w:start w:val="1"/>
      <w:numFmt w:val="bullet"/>
      <w:lvlText w:val="•"/>
      <w:lvlJc w:val="left"/>
      <w:pPr>
        <w:ind w:left="1683" w:hanging="360"/>
      </w:pPr>
    </w:lvl>
    <w:lvl w:ilvl="2">
      <w:start w:val="1"/>
      <w:numFmt w:val="bullet"/>
      <w:lvlText w:val="•"/>
      <w:lvlJc w:val="left"/>
      <w:pPr>
        <w:ind w:left="2527" w:hanging="360"/>
      </w:pPr>
    </w:lvl>
    <w:lvl w:ilvl="3">
      <w:start w:val="1"/>
      <w:numFmt w:val="bullet"/>
      <w:lvlText w:val="•"/>
      <w:lvlJc w:val="left"/>
      <w:pPr>
        <w:ind w:left="3370" w:hanging="360"/>
      </w:pPr>
    </w:lvl>
    <w:lvl w:ilvl="4">
      <w:start w:val="1"/>
      <w:numFmt w:val="bullet"/>
      <w:lvlText w:val="•"/>
      <w:lvlJc w:val="left"/>
      <w:pPr>
        <w:ind w:left="4214" w:hanging="360"/>
      </w:pPr>
    </w:lvl>
    <w:lvl w:ilvl="5">
      <w:start w:val="1"/>
      <w:numFmt w:val="bullet"/>
      <w:lvlText w:val="•"/>
      <w:lvlJc w:val="left"/>
      <w:pPr>
        <w:ind w:left="5058" w:hanging="360"/>
      </w:pPr>
    </w:lvl>
    <w:lvl w:ilvl="6">
      <w:start w:val="1"/>
      <w:numFmt w:val="bullet"/>
      <w:lvlText w:val="•"/>
      <w:lvlJc w:val="left"/>
      <w:pPr>
        <w:ind w:left="5901" w:hanging="360"/>
      </w:pPr>
    </w:lvl>
    <w:lvl w:ilvl="7">
      <w:start w:val="1"/>
      <w:numFmt w:val="bullet"/>
      <w:lvlText w:val="•"/>
      <w:lvlJc w:val="left"/>
      <w:pPr>
        <w:ind w:left="6745" w:hanging="360"/>
      </w:pPr>
    </w:lvl>
    <w:lvl w:ilvl="8">
      <w:start w:val="1"/>
      <w:numFmt w:val="bullet"/>
      <w:lvlText w:val="•"/>
      <w:lvlJc w:val="left"/>
      <w:pPr>
        <w:ind w:left="7588" w:hanging="360"/>
      </w:pPr>
    </w:lvl>
  </w:abstractNum>
  <w:abstractNum w:abstractNumId="18" w15:restartNumberingAfterBreak="0">
    <w:nsid w:val="6F93251A"/>
    <w:multiLevelType w:val="multilevel"/>
    <w:tmpl w:val="2A8CBAE8"/>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82721F"/>
    <w:multiLevelType w:val="multilevel"/>
    <w:tmpl w:val="AF606F18"/>
    <w:lvl w:ilvl="0">
      <w:start w:val="1"/>
      <w:numFmt w:val="decimalZero"/>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B2D3C04"/>
    <w:multiLevelType w:val="hybridMultilevel"/>
    <w:tmpl w:val="55D09192"/>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8"/>
  </w:num>
  <w:num w:numId="2">
    <w:abstractNumId w:val="19"/>
  </w:num>
  <w:num w:numId="3">
    <w:abstractNumId w:val="6"/>
  </w:num>
  <w:num w:numId="4">
    <w:abstractNumId w:val="5"/>
  </w:num>
  <w:num w:numId="5">
    <w:abstractNumId w:val="10"/>
  </w:num>
  <w:num w:numId="6">
    <w:abstractNumId w:val="15"/>
  </w:num>
  <w:num w:numId="7">
    <w:abstractNumId w:val="12"/>
  </w:num>
  <w:num w:numId="8">
    <w:abstractNumId w:val="7"/>
  </w:num>
  <w:num w:numId="9">
    <w:abstractNumId w:val="17"/>
  </w:num>
  <w:num w:numId="10">
    <w:abstractNumId w:val="16"/>
  </w:num>
  <w:num w:numId="11">
    <w:abstractNumId w:val="9"/>
  </w:num>
  <w:num w:numId="12">
    <w:abstractNumId w:val="4"/>
  </w:num>
  <w:num w:numId="13">
    <w:abstractNumId w:val="8"/>
  </w:num>
  <w:num w:numId="14">
    <w:abstractNumId w:val="2"/>
  </w:num>
  <w:num w:numId="15">
    <w:abstractNumId w:val="11"/>
  </w:num>
  <w:num w:numId="16">
    <w:abstractNumId w:val="13"/>
  </w:num>
  <w:num w:numId="17">
    <w:abstractNumId w:val="0"/>
  </w:num>
  <w:num w:numId="18">
    <w:abstractNumId w:val="20"/>
  </w:num>
  <w:num w:numId="19">
    <w:abstractNumId w:val="14"/>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31"/>
    <w:rsid w:val="00093434"/>
    <w:rsid w:val="000F3FC1"/>
    <w:rsid w:val="001048B5"/>
    <w:rsid w:val="00137CA3"/>
    <w:rsid w:val="00144EDD"/>
    <w:rsid w:val="002112EF"/>
    <w:rsid w:val="0027704F"/>
    <w:rsid w:val="002F79DE"/>
    <w:rsid w:val="00321C32"/>
    <w:rsid w:val="00412989"/>
    <w:rsid w:val="00490A28"/>
    <w:rsid w:val="004B5674"/>
    <w:rsid w:val="005E1BB6"/>
    <w:rsid w:val="005F412A"/>
    <w:rsid w:val="00620AE2"/>
    <w:rsid w:val="00641585"/>
    <w:rsid w:val="00643E6A"/>
    <w:rsid w:val="00651124"/>
    <w:rsid w:val="006B2F8D"/>
    <w:rsid w:val="006D5B6E"/>
    <w:rsid w:val="00720462"/>
    <w:rsid w:val="007973CD"/>
    <w:rsid w:val="00806F76"/>
    <w:rsid w:val="008B4D23"/>
    <w:rsid w:val="00940F31"/>
    <w:rsid w:val="009B1749"/>
    <w:rsid w:val="009B6F51"/>
    <w:rsid w:val="00AB6188"/>
    <w:rsid w:val="00B35D12"/>
    <w:rsid w:val="00C50453"/>
    <w:rsid w:val="00C740E9"/>
    <w:rsid w:val="00D66022"/>
    <w:rsid w:val="00D85064"/>
    <w:rsid w:val="00E0522E"/>
    <w:rsid w:val="00E336FC"/>
    <w:rsid w:val="00E874AE"/>
    <w:rsid w:val="00EF653E"/>
    <w:rsid w:val="00F025A4"/>
    <w:rsid w:val="00F15844"/>
    <w:rsid w:val="00F5041B"/>
    <w:rsid w:val="00F541AD"/>
    <w:rsid w:val="00FD1F97"/>
    <w:rsid w:val="00FE0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CC27"/>
  <w15:docId w15:val="{71E6ED7F-1E57-4A42-91FE-9A47AF48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2"/>
        <w:szCs w:val="22"/>
        <w:lang w:val="pl-PL" w:eastAsia="pl-P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F5041B"/>
    <w:rPr>
      <w:rFonts w:ascii="Segoe UI" w:hAnsi="Segoe UI" w:cs="Segoe UI"/>
      <w:sz w:val="18"/>
      <w:szCs w:val="18"/>
    </w:rPr>
  </w:style>
  <w:style w:type="character" w:customStyle="1" w:styleId="TekstdymkaZnak">
    <w:name w:val="Tekst dymka Znak"/>
    <w:basedOn w:val="Domylnaczcionkaakapitu"/>
    <w:link w:val="Tekstdymka"/>
    <w:uiPriority w:val="99"/>
    <w:semiHidden/>
    <w:rsid w:val="00F5041B"/>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85064"/>
    <w:rPr>
      <w:b/>
      <w:bCs/>
    </w:rPr>
  </w:style>
  <w:style w:type="character" w:customStyle="1" w:styleId="TematkomentarzaZnak">
    <w:name w:val="Temat komentarza Znak"/>
    <w:basedOn w:val="TekstkomentarzaZnak"/>
    <w:link w:val="Tematkomentarza"/>
    <w:uiPriority w:val="99"/>
    <w:semiHidden/>
    <w:rsid w:val="00D85064"/>
    <w:rPr>
      <w:b/>
      <w:bCs/>
      <w:sz w:val="20"/>
      <w:szCs w:val="20"/>
    </w:rPr>
  </w:style>
  <w:style w:type="paragraph" w:styleId="Akapitzlist">
    <w:name w:val="List Paragraph"/>
    <w:basedOn w:val="Normalny"/>
    <w:uiPriority w:val="34"/>
    <w:qFormat/>
    <w:rsid w:val="00720462"/>
    <w:pPr>
      <w:ind w:left="720"/>
      <w:contextualSpacing/>
    </w:pPr>
  </w:style>
  <w:style w:type="paragraph" w:styleId="Poprawka">
    <w:name w:val="Revision"/>
    <w:hidden/>
    <w:uiPriority w:val="99"/>
    <w:semiHidden/>
    <w:rsid w:val="009B174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F678D-EAA3-417C-8F02-A45CF15A5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6025</Words>
  <Characters>36155</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Drenkowska Marta</dc:creator>
  <cp:lastModifiedBy>Drenkowska Marta</cp:lastModifiedBy>
  <cp:revision>3</cp:revision>
  <dcterms:created xsi:type="dcterms:W3CDTF">2020-07-21T10:49:00Z</dcterms:created>
  <dcterms:modified xsi:type="dcterms:W3CDTF">2020-11-05T10:12:00Z</dcterms:modified>
</cp:coreProperties>
</file>