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4238" w14:textId="3C5A8711"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r w:rsidR="008D6749">
        <w:rPr>
          <w:rFonts w:ascii="Arial" w:hAnsi="Arial" w:cs="Arial"/>
          <w:b/>
          <w:sz w:val="28"/>
          <w:szCs w:val="28"/>
        </w:rPr>
        <w:t xml:space="preserve">  </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0E4B97EC" w14:textId="050FF847" w:rsidR="00272ED5" w:rsidRDefault="00272ED5" w:rsidP="0011648A"/>
          <w:p w14:paraId="13EC0D48" w14:textId="77777777" w:rsidR="00E643BA" w:rsidRPr="00272ED5" w:rsidRDefault="00272ED5" w:rsidP="00272ED5">
            <w:pPr>
              <w:pStyle w:val="NormalnyWeb"/>
              <w:rPr>
                <w:rFonts w:asciiTheme="minorHAnsi" w:eastAsia="Calibri" w:hAnsiTheme="minorHAnsi" w:cstheme="minorHAnsi"/>
                <w:sz w:val="22"/>
                <w:szCs w:val="22"/>
                <w:lang w:eastAsia="en-US"/>
              </w:rPr>
            </w:pPr>
            <w:r w:rsidRPr="00272ED5">
              <w:rPr>
                <w:rFonts w:asciiTheme="minorHAnsi" w:eastAsia="Calibri" w:hAnsiTheme="minorHAnsi" w:cstheme="minorHAnsi"/>
                <w:sz w:val="22"/>
                <w:szCs w:val="22"/>
                <w:lang w:eastAsia="en-US"/>
              </w:rPr>
              <w:t xml:space="preserve">Zarządzanie procesami i zespołami sektora ochrony zdrowia z wykorzystaniem metodyki LEAN MANAGEMENT - Poziom </w:t>
            </w:r>
            <w:r w:rsidRPr="00B061A5">
              <w:rPr>
                <w:rFonts w:asciiTheme="minorHAnsi" w:eastAsia="Calibri" w:hAnsiTheme="minorHAnsi" w:cstheme="minorHAnsi"/>
                <w:b/>
                <w:bCs/>
                <w:sz w:val="22"/>
                <w:szCs w:val="22"/>
                <w:lang w:eastAsia="en-US"/>
              </w:rPr>
              <w:t>LEAN EKSPERT</w:t>
            </w:r>
          </w:p>
          <w:p w14:paraId="1594BD39" w14:textId="5586154D" w:rsidR="00272ED5" w:rsidRPr="00272ED5" w:rsidRDefault="00272ED5" w:rsidP="00272ED5">
            <w:pPr>
              <w:pStyle w:val="NormalnyWeb"/>
              <w:rPr>
                <w:rFonts w:ascii="Arial" w:hAnsi="Arial" w:cs="Arial"/>
                <w:sz w:val="20"/>
                <w:szCs w:val="20"/>
              </w:rPr>
            </w:pP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0FE8C2A1" w:rsidR="001E6392" w:rsidRPr="002F6C87" w:rsidRDefault="00AD350D" w:rsidP="0060026D">
            <w:pPr>
              <w:spacing w:after="0"/>
              <w:rPr>
                <w:rFonts w:cstheme="minorHAnsi"/>
                <w:b/>
                <w:i/>
                <w:sz w:val="24"/>
                <w:szCs w:val="24"/>
              </w:rPr>
            </w:pPr>
            <w:r w:rsidRPr="00AD350D">
              <w:rPr>
                <w:rFonts w:eastAsia="Calibri" w:cstheme="minorHAnsi"/>
              </w:rPr>
              <w:t>Lean w medycynie sp. z o.o.</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lastRenderedPageBreak/>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63"/>
        <w:gridCol w:w="9355"/>
        <w:gridCol w:w="4074"/>
      </w:tblGrid>
      <w:tr w:rsidR="00C21CEE" w:rsidRPr="00650152" w14:paraId="76237761" w14:textId="77777777" w:rsidTr="00AD350D">
        <w:trPr>
          <w:trHeight w:val="737"/>
        </w:trPr>
        <w:tc>
          <w:tcPr>
            <w:tcW w:w="201" w:type="pct"/>
            <w:shd w:val="clear" w:color="auto" w:fill="F2F2F2" w:themeFill="background1" w:themeFillShade="F2"/>
            <w:vAlign w:val="center"/>
          </w:tcPr>
          <w:p w14:paraId="1290809A" w14:textId="77777777" w:rsidR="00C21CEE" w:rsidRPr="00650152" w:rsidRDefault="00C21CEE" w:rsidP="00272ED5">
            <w:pPr>
              <w:spacing w:before="120" w:after="120"/>
              <w:jc w:val="center"/>
              <w:rPr>
                <w:rFonts w:ascii="Arial" w:hAnsi="Arial" w:cs="Arial"/>
                <w:sz w:val="20"/>
                <w:szCs w:val="20"/>
              </w:rPr>
            </w:pPr>
            <w:r w:rsidRPr="00650152">
              <w:rPr>
                <w:rFonts w:ascii="Arial" w:hAnsi="Arial" w:cs="Arial"/>
                <w:b/>
                <w:sz w:val="20"/>
                <w:szCs w:val="20"/>
              </w:rPr>
              <w:t>Lp.</w:t>
            </w:r>
          </w:p>
        </w:tc>
        <w:tc>
          <w:tcPr>
            <w:tcW w:w="3343" w:type="pct"/>
            <w:shd w:val="clear" w:color="auto" w:fill="F2F2F2" w:themeFill="background1" w:themeFillShade="F2"/>
            <w:vAlign w:val="center"/>
          </w:tcPr>
          <w:p w14:paraId="4CA25761" w14:textId="77777777" w:rsidR="00C21CEE" w:rsidRPr="00650152" w:rsidRDefault="00C21CEE" w:rsidP="00272ED5">
            <w:pPr>
              <w:spacing w:before="120" w:after="120"/>
              <w:jc w:val="center"/>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272ED5">
            <w:pPr>
              <w:spacing w:before="120" w:after="120"/>
              <w:jc w:val="center"/>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AD350D">
        <w:trPr>
          <w:trHeight w:val="1084"/>
        </w:trPr>
        <w:tc>
          <w:tcPr>
            <w:tcW w:w="201"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43"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48F2FD35" w14:textId="3DE89DCA" w:rsidR="00272ED5" w:rsidRPr="00272ED5" w:rsidRDefault="00272ED5" w:rsidP="00272ED5">
            <w:pPr>
              <w:pStyle w:val="NormalnyWeb"/>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Zarządzanie procesami i zespołami sektora ochrony zdrowia z wykorzystaniem metodyki LEAN MANAGEMENT - Poziom LEAN EKSPERT</w:t>
            </w:r>
          </w:p>
          <w:p w14:paraId="308BEEEF" w14:textId="49AB3A93" w:rsidR="00AD350D" w:rsidRPr="002F6C87" w:rsidRDefault="00AD350D" w:rsidP="002F6C87">
            <w:r>
              <w:t xml:space="preserve">Skrót nazwy: </w:t>
            </w:r>
            <w:r w:rsidRPr="00AD350D">
              <w:t>LEAN EKSPERT</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AD350D">
        <w:trPr>
          <w:trHeight w:val="1084"/>
        </w:trPr>
        <w:tc>
          <w:tcPr>
            <w:tcW w:w="201"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43"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0E3C4D23"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Kwalifikacja “Zarządzanie procesami i zespołami sektora ochrony zdrowia z wykorzystaniem metodyki LEAN MANAGEMENT - Poziom LEAN EKSPERT” jest skierowana do pracowników i kadry zarządzającej szeroko rozumianego sektora ochrony zdrowia oraz jest elementem trzech, wskazanych niżej, wzajemnie uzupełniających się stopni zaawansowania.</w:t>
            </w:r>
          </w:p>
          <w:p w14:paraId="3A68002C"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lastRenderedPageBreak/>
              <w:t xml:space="preserve">LEAN INSPIRATOR weryfikuje podstawową wiedzę i umiejętności niezbędne do pozyskania dwóch równorzędnych kwalifikacji wyższego stopnia, LEAN EKSPERT – pozwala ukierunkować się na techniczne aspekty analizy procesów i stosowanie wybranych narzędzi Lean Management. LEAN LIDER – kładzie nacisk na umiejętności miękkie, dotyczące sfery zarządzania zespołami. Kwalifikacje LEAN EKSPERT i LEAN LIDER mogą być pozyskane niezależnie od siebie. </w:t>
            </w:r>
          </w:p>
          <w:p w14:paraId="42DB6443"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Lean Inspirator – poziom przeznaczony dla wszystkich pracowników i każdego z poziomów zarządzania w sektorze ochrony zdrowia, bez względu na miejsce zatrudnienia i zakres obowiązków. Stanowi on podstawę dalszej edukacji/nabywania efektów uczenia się. Lean Ekspert – poziom przeznaczony głównie dla osób odpowiedzialnych za zarządzanie procesami i jakością procesów w organizacji (specjaliści, kadra zarządzająca średniego szczebla). Lean Lider – poziom przeznaczony dla kadry zarządzającej od średniego do najwyższego szczebla. Kwalifikacje te mogą i powinny być wykorzystywane adekwatnie do roli danej osoby w organizacji, odpowiednio przez pracowników operacyjnych, osoby zarządzające procesami lub zespołami oraz osoby odpowiedzialne za efektywność i jakość procesów. Kwalifikacja w szczególności skierowana jest do pracowników sektora ochrony zdrowia, jednak ze względu na swój uniwersalny charakter w wielu aspektach, szczególnie związanych z kulturą zarządzania zawartą w metodyce Lean Management może być dodatkowo stosowana w tych sektorach gospodarki lub obszarach działalności danej organizacji, które dotyczą procesów wspomagania ochrony zdrowia. Osoba posiadająca kwalifikację „Zarządzanie procesami i zespołami sektora ochrony zdrowia z wykorzystaniem metodyki LEAN MANAGEMENT - Poziom LEAN EKSPERT” wykorzystuje w specyficznym środowisku opieki zdrowotnej narzędzia i metody pomiaru procesów, wykorzystuje zaawansowane narzędzia do opisu i graficznego przedstawienia procesów w środowisku sektora ochrony zdrowia oraz organizuje system poprawy jakości i efektywności procesów realizowanych w danej jednostce sektora. Certyfikat kwalifikacji zwiększa szansę na mobilność pracowników i kadry zarządzającej, jak też motywuje do zdobywania wiedzy i umiejętności w innych dziedzinach, gdzie może być wykorzystana wiedza na temat zaawansowanego pomiaru i mapowania procesów oraz wdrażania w organizacji metod ciągłego doskonalenia. Osoba posiadająca kwalifikację „Zarządzanie procesami i zespołami sektora ochrony zdrowia z wykorzystaniem metodyki LEAN MANAGEMENT – Poziom LEAN EKSPERT”: </w:t>
            </w:r>
          </w:p>
          <w:p w14:paraId="75A234BB" w14:textId="77777777" w:rsidR="00272ED5" w:rsidRPr="00272ED5" w:rsidRDefault="00272ED5" w:rsidP="00BC2D65">
            <w:pPr>
              <w:pStyle w:val="NormalnyWeb"/>
              <w:numPr>
                <w:ilvl w:val="0"/>
                <w:numId w:val="2"/>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Opisuje procesy w schemacie SIPOC. </w:t>
            </w:r>
          </w:p>
          <w:p w14:paraId="6ACDD454" w14:textId="77777777" w:rsidR="00272ED5" w:rsidRPr="00272ED5" w:rsidRDefault="00272ED5" w:rsidP="00BC2D65">
            <w:pPr>
              <w:pStyle w:val="NormalnyWeb"/>
              <w:numPr>
                <w:ilvl w:val="0"/>
                <w:numId w:val="2"/>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Sporządza mapy procesu w notacji BPMN lub podobnej, wskazując jednocześnie miejsca występowania marnotrawstw i problemów na mapie.</w:t>
            </w:r>
          </w:p>
          <w:p w14:paraId="75579805" w14:textId="77777777" w:rsidR="00272ED5" w:rsidRPr="00272ED5" w:rsidRDefault="00272ED5" w:rsidP="00BC2D65">
            <w:pPr>
              <w:pStyle w:val="NormalnyWeb"/>
              <w:numPr>
                <w:ilvl w:val="0"/>
                <w:numId w:val="2"/>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Dokonuje pomiaru podstawowych parametrów procesu (czas, jakoś, efektywność). </w:t>
            </w:r>
          </w:p>
          <w:p w14:paraId="3C6FDB3F" w14:textId="77777777" w:rsidR="00272ED5" w:rsidRPr="00272ED5" w:rsidRDefault="00272ED5" w:rsidP="00BC2D65">
            <w:pPr>
              <w:pStyle w:val="NormalnyWeb"/>
              <w:numPr>
                <w:ilvl w:val="0"/>
                <w:numId w:val="2"/>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lastRenderedPageBreak/>
              <w:t xml:space="preserve">Sporządza mapę strumienia wartości procesu dostosowaną do specyfiki sektora ochrony zdrowia i analizuje dane zawarte w tej mapie w celu określenia obszarów potencjalnych usprawnień oraz określenia sposobów pomiarów efektów usprawnień. </w:t>
            </w:r>
          </w:p>
          <w:p w14:paraId="2A3ADB3A" w14:textId="77777777" w:rsidR="00272ED5" w:rsidRPr="00272ED5" w:rsidRDefault="00272ED5" w:rsidP="00BC2D65">
            <w:pPr>
              <w:pStyle w:val="NormalnyWeb"/>
              <w:numPr>
                <w:ilvl w:val="0"/>
                <w:numId w:val="2"/>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Prowadzi cykliczne spotkania usprawnień procesów oraz monitoruje i prezentuje efekty wdrażanych usprawnień. </w:t>
            </w:r>
          </w:p>
          <w:p w14:paraId="2EF903A8" w14:textId="77777777" w:rsidR="00272ED5" w:rsidRPr="00272ED5" w:rsidRDefault="00272ED5" w:rsidP="00272ED5">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220E17BA"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Koszt uzyskania kwalifikacji to ok 1200 zł/osoba. </w:t>
            </w:r>
          </w:p>
          <w:p w14:paraId="05222D86" w14:textId="61645D7F" w:rsidR="00C21CEE" w:rsidRPr="002F6C87" w:rsidRDefault="00C21CEE" w:rsidP="00272ED5">
            <w:pPr>
              <w:spacing w:after="120"/>
              <w:contextualSpacing/>
              <w:jc w:val="both"/>
            </w:pP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AD350D">
        <w:trPr>
          <w:trHeight w:val="1036"/>
        </w:trPr>
        <w:tc>
          <w:tcPr>
            <w:tcW w:w="201"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3</w:t>
            </w:r>
            <w:r w:rsidR="00C21CEE" w:rsidRPr="00650152">
              <w:rPr>
                <w:rFonts w:ascii="Arial" w:hAnsi="Arial" w:cs="Arial"/>
                <w:sz w:val="20"/>
                <w:szCs w:val="20"/>
              </w:rPr>
              <w:t>.</w:t>
            </w:r>
          </w:p>
        </w:tc>
        <w:tc>
          <w:tcPr>
            <w:tcW w:w="3343"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123AF704" w:rsidR="00C21CEE" w:rsidRPr="00272ED5" w:rsidRDefault="00272ED5" w:rsidP="00272ED5">
            <w:pPr>
              <w:pStyle w:val="NormalnyWeb"/>
              <w:spacing w:after="36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Kwalifikacja jest skierowana głównie do osób zatrudnionych na stanowiskach specjalistycznych oraz dla kadry zarządzającej średniego szczebla w sektorze ochrony zdrowia (np. w zakładach opiekuńczo-leczniczych), jako element kontynuacji po kwalifikacji na poziomie Lean Inspirator związany z praktycznym stosowaniem narzędzi pomiaru i analizy procesów oraz opcjonalnie jako uzupełnienie kwalifikacji poziom LEAN LIDER w zakresie stosowania podstawowych narzędzi i metod pomiaru i analizy procesu. Szczególnie zainteresowane uzyskaniem kwalifikacji „Zarządzanie procesami i zespołami sektora ochrony zdrowia z wykorzystaniem metodyki LEAN MANAGEMENT - poziom Lean Ekspert” mogą być zainteresowane osoby zatrudnione na stanowiskach kierowniczych, pracownicy i współpracownicy jednostek i podmiotów działających w sektorze ochrony zdrowia. m.in. przychodni, szpitali, ambulatoryjnej opieki specjalistycznej, aptek, producentów leków i materiałów medycznych, producentów sprzętu medycznego, podmiotów nadzorujących system ochrony zdrowia itp., którzy w ramach swoich obowiązków są odpowiedzialni m.in. za efektywność i jakość realizowanych procesów. </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AD350D">
        <w:tc>
          <w:tcPr>
            <w:tcW w:w="201"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43"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1A9C2B29" w:rsidR="00C21CEE" w:rsidRPr="00407AC6" w:rsidRDefault="00AD350D" w:rsidP="00407AC6">
            <w:r w:rsidRPr="00AD350D">
              <w:t>Kwaliﬁkacja pełna z poziomem VI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AD350D">
        <w:tc>
          <w:tcPr>
            <w:tcW w:w="201"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43" w:type="pct"/>
            <w:vAlign w:val="center"/>
          </w:tcPr>
          <w:p w14:paraId="62B4BAE1" w14:textId="030E65CF" w:rsidR="00C21CEE" w:rsidRDefault="00C21CEE" w:rsidP="00416268">
            <w:pPr>
              <w:spacing w:before="120" w:after="120"/>
              <w:rPr>
                <w:rFonts w:eastAsia="Lato"/>
                <w:b/>
              </w:rPr>
            </w:pPr>
            <w:r w:rsidRPr="002812FE">
              <w:rPr>
                <w:rFonts w:eastAsia="Lato"/>
                <w:b/>
              </w:rPr>
              <w:t>W razie potrzeby warunki, jakie musi spełniać osoba przystępująca do walidacji:</w:t>
            </w:r>
          </w:p>
          <w:p w14:paraId="5925A44C" w14:textId="77777777" w:rsidR="00272ED5" w:rsidRPr="00272ED5" w:rsidRDefault="00272ED5" w:rsidP="00272ED5">
            <w:pPr>
              <w:pStyle w:val="NormalnyWeb"/>
              <w:spacing w:before="0" w:beforeAutospacing="0" w:after="12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Dyplom ukończenia studiów I stopnia (kwaliﬁkacja pełna z poziomem VI PRK). </w:t>
            </w:r>
          </w:p>
          <w:p w14:paraId="141CDA5E" w14:textId="77777777" w:rsidR="00272ED5" w:rsidRPr="00272ED5" w:rsidRDefault="00272ED5" w:rsidP="00272ED5">
            <w:pPr>
              <w:pStyle w:val="NormalnyWeb"/>
              <w:spacing w:before="0" w:beforeAutospacing="0" w:after="12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Zatrudnienie w organizacji z sektora ochrony zdrowia. </w:t>
            </w:r>
          </w:p>
          <w:p w14:paraId="522666A2" w14:textId="5D16054F" w:rsidR="00C21CEE" w:rsidRPr="00272ED5" w:rsidRDefault="00272ED5" w:rsidP="00272ED5">
            <w:pPr>
              <w:pStyle w:val="NormalnyWeb"/>
              <w:spacing w:before="120" w:beforeAutospacing="0" w:after="360" w:afterAutospacing="0"/>
              <w:jc w:val="both"/>
              <w:rPr>
                <w:rFonts w:ascii="Arial" w:hAnsi="Arial" w:cs="Arial"/>
                <w:sz w:val="20"/>
                <w:szCs w:val="20"/>
              </w:rPr>
            </w:pPr>
            <w:r w:rsidRPr="00272ED5">
              <w:rPr>
                <w:rFonts w:asciiTheme="minorHAnsi" w:eastAsiaTheme="minorHAnsi" w:hAnsiTheme="minorHAnsi" w:cstheme="minorBidi"/>
                <w:sz w:val="22"/>
                <w:szCs w:val="22"/>
                <w:lang w:eastAsia="en-US"/>
              </w:rPr>
              <w:lastRenderedPageBreak/>
              <w:t>Minimum 1 rok doświadczenia w sektorze ochrony zdrowia</w:t>
            </w:r>
            <w:r w:rsidRPr="00E437D5">
              <w:rPr>
                <w:rFonts w:ascii="Arial" w:hAnsi="Arial" w:cs="Arial"/>
                <w:sz w:val="20"/>
                <w:szCs w:val="20"/>
              </w:rPr>
              <w:t xml:space="preserve">. </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AD350D">
        <w:tc>
          <w:tcPr>
            <w:tcW w:w="201"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43"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49A9D7B9"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optymalizacji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Swoje miejsce Lean Management odnalazła także w sektorze ochrony zdrowia na całym świecie. Wdrożeniem niniejszej koncepcji mogą się poszczycić szpitale m.in. z takich krajów jak Japonia, Anglia, USA, Kanada, Hiszpania czy Włochy. Wartość samouczących się organizacji i systemów wyraźnie uwidoczniła pandemia. COVID-19 pokazał, jak ważne jest posiadanie infrastruktury systemu ochrony zdrowia zdolnego do uczenia się, aby szybko zbierać dane, analizować je i tworzyć społeczności w celu rozwiązania problemów, czego w obecnych systemach brakuje. Chodzi o to, aby w przypadkach pandemii, jak i mniejszych w skali występowania zdarzeń, posiadać pewne ramy stanowiące wzorzec postępowania zarówno w celu radzenia sobie z codziennymi wyzwaniami, poprawą bezpieczeństwa, jakości i wyników, a także szybkiego rozpowszechniania informacji i mobilizowania skutecznych odpowiedzi na pilne problemy w ramach posiadanych, często ograniczonych zasobów. Koncepcja Lean Management może być stosowana zarówno w małych, jak i większych placówkach ochrony zdrowia, gdyż metody i narzędzia dostosowuje się tu ze względu na ich potencjał rozwojowy. Poznanie, opanowanie i stosowanie na co dzień przez kadrę specjalistyczną oraz zarządzającą średniego szczebla w sektorze ochrony zdrowia tej metody zarządzania pozwoli m.in. zmniejszyć koszty funkcjonowania placówek, ograniczyć niepotrzebny ruch, wpływając korzystnie na przepływ informacji i danych. Ponadto, poznanie i wdrożenie przez sektor ochrony zdrowia Lean Management pozwoli na: </w:t>
            </w:r>
          </w:p>
          <w:p w14:paraId="13C5B35E"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zoptymalizowanie procesów zachodzących w placówce,</w:t>
            </w:r>
          </w:p>
          <w:p w14:paraId="227EEADA"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wzrost wydajności personelu,</w:t>
            </w:r>
          </w:p>
          <w:p w14:paraId="7A046E88"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skrócenie czasu potrzebnego na podjęcie decyzji, </w:t>
            </w:r>
          </w:p>
          <w:p w14:paraId="1711403C"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decentralizację i spłaszczenie struktury organizacyjnej, </w:t>
            </w:r>
          </w:p>
          <w:p w14:paraId="0BD9F5C6"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zmniejszenie marnotrawstwa, </w:t>
            </w:r>
          </w:p>
          <w:p w14:paraId="43B65458"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zmniejszenie przeciążenia personelu, </w:t>
            </w:r>
          </w:p>
          <w:p w14:paraId="44CE7C46"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lastRenderedPageBreak/>
              <w:t xml:space="preserve">wzrost jakości usług,  </w:t>
            </w:r>
          </w:p>
          <w:p w14:paraId="40826E22"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wzrost bezpieczeństwa opieki, </w:t>
            </w:r>
          </w:p>
          <w:p w14:paraId="66C7ECFC" w14:textId="77777777" w:rsidR="00272ED5" w:rsidRPr="00272ED5" w:rsidRDefault="00272ED5" w:rsidP="00BC2D65">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wzrost zadowolenia pacjentów, </w:t>
            </w:r>
          </w:p>
          <w:p w14:paraId="1EDB6933" w14:textId="77777777" w:rsidR="00272ED5" w:rsidRPr="00272ED5" w:rsidRDefault="00272ED5" w:rsidP="00BC2D65">
            <w:pPr>
              <w:pStyle w:val="NormalnyWeb"/>
              <w:numPr>
                <w:ilvl w:val="0"/>
                <w:numId w:val="3"/>
              </w:numPr>
              <w:spacing w:before="0" w:beforeAutospacing="0" w:after="120" w:afterAutospacing="0"/>
              <w:ind w:left="714" w:hanging="357"/>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zwiększenie zadowolenia z pracy i motywacji personelu, co zmniejszy fluktuacje personelu, która w chwili obecnej jest bardzo dynamiczna. </w:t>
            </w:r>
          </w:p>
          <w:p w14:paraId="625F8159" w14:textId="77777777" w:rsidR="00272ED5" w:rsidRPr="00272ED5" w:rsidRDefault="00272ED5" w:rsidP="00272ED5">
            <w:pPr>
              <w:pStyle w:val="NormalnyWeb"/>
              <w:spacing w:before="0" w:beforeAutospacing="0" w:after="12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Dodatkowo, w obecnej sytuacji epidemiologicznej, która trwa od wielu miesięcy m.in. w systemie ochrony zdrowia, a wynika z pandemii koronawirusa, niezmiennie istotne jest, aby nie zawodził czynnik ludzki. Gdyż kiedy on zawiedzie próba odzyskania utraconych korzyści i dobrej reputacji może się nie udać. </w:t>
            </w:r>
          </w:p>
          <w:p w14:paraId="04F2198A"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personelu średniego szczebla zarządzania oraz specjalistów w placówce ochrony zdrowia. </w:t>
            </w:r>
          </w:p>
          <w:p w14:paraId="56CA6D51"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Podmiot leczniczy, którego pracownicy zostaną zapoznani, przeszkoleni i zaczną stosować w codziennej pracy zasady wynikające z przedmiotowego sposobu zarządzania, zyska poprzez eliminację marnotrawstw oraz maksymalizację wartości, jakie są dostarczane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 ochrony zdrowia to nie tylko wielkość nakładów ponoszonych na jego funkcjonowanie, ale także optymalne działanie w sferze zarówno medycznej, jak i pozamedycznej. Dążenie do unikania wykonywania zbędnych czynności przez specjalistów, kierowników i podlegającym im zespołów umożliwi usprawnianie procesów zachodzących w danym podmiocie ochrony zdrowia [1,2,3]. Aktualnie jednym z istotnych wyzwań systemu ochrony zdrowia jest konieczność dostosowania placówek ochrony zdrowia do zmieniającego się otoczenia. Kolejnym uzasadnieniem dla tej kwalifikacji jest konieczność uwzględnienia w zarządzaniu jednostkami sektora ochrony zdrowia dostosowywania się na bieżąco (ciągłe zmiany) odpowiednio do: aktualnych trendów w rozwoju nowych technologii wytwarzania w gospodarce i ich wpływu na narażenia zdrowotne dotąd nie występujące lub występujące w ograniczonym zakresie, zmian w organizacji pracy (w tym również wywołanych różnorodnością form zatrudniania pracowników), zmian demograficznych i strukturalnych zmian zatrudnienia. Powyższe stwierdzenia potwierdzają opinie międzynarodowych środowisk specjalistów o </w:t>
            </w:r>
            <w:r w:rsidRPr="00272ED5">
              <w:rPr>
                <w:rFonts w:asciiTheme="minorHAnsi" w:eastAsiaTheme="minorHAnsi" w:hAnsiTheme="minorHAnsi" w:cstheme="minorBidi"/>
                <w:sz w:val="22"/>
                <w:szCs w:val="22"/>
                <w:lang w:eastAsia="en-US"/>
              </w:rPr>
              <w:lastRenderedPageBreak/>
              <w:t xml:space="preserve">zdecydowanej transformacji roli podmiotów ochrony zdrowia i ich potrzeb w kierunku analogicznym do tego jaki obserwujemy aktualnie w przedsiębiorstwach funkcjonujących w gospodarce. Dziś placówki ochrony zdrowia 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systemu ochrony zdrowia wpływają na fakt, iż Lean Management jest szczególnie przydatny podczas restrukturyzacji systemu zarządzania ochroną zdrowia. Poznanie koncepcji Lean management przez kierowników i specjalistów pozwoli na efektywne działanie jednostki oraz wzrost efektywności poszczególnych podmiotów, przy czym efektywność w Lean Management rozumie się szeroko, włączając responsywność, czyli nastawienie na potrzeby i oczekiwania klienta zewnętrznego tj. pacjenta, wysoki poziom jakości i dostępności usług, który osiągany jest przy niskich kosztach. Najważniejszą finalną wartością z wdrożenia metodyki zarządzania Lean Management, której oczekuje się od placówek systemu ochrony zdrowia jest udział w zapewnianiu zdrowia od diagnozy i oceny stanu zdrowia poprzez spectrum różnorodnych świadczeń (promocji zdrowia, profilaktyki i prewencji chorób, świadczeń leczniczych, pielęgnacyjnych i rehabilitacyjnych). Ta złożona wartość, na którą składa się cały szereg zadań, które powinny być realizowane we właściwy i efektywny sposób, dlatego tak istotne jest przeszkolenie pracowników i specjalistów, od personelu średniego po kadrę zarządzającą, gdyż zróżnicowanie pod względem specjalności i zadań w jakich pracownicy jednostek ochrony zdrowia 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przeprowadzenie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strumieni wartości, czyli ciągów działań koniecznych do ich wypracowania, powstałych zgodnie z potrzebą chwili, bez większej analizy adekwatności i efektywności procesu. Uzyskanie kwalifikacji z obszaru Lean Management w sektorze ochrony </w:t>
            </w:r>
            <w:r w:rsidRPr="00272ED5">
              <w:rPr>
                <w:rFonts w:asciiTheme="minorHAnsi" w:eastAsiaTheme="minorHAnsi" w:hAnsiTheme="minorHAnsi" w:cstheme="minorBidi"/>
                <w:sz w:val="22"/>
                <w:szCs w:val="22"/>
                <w:lang w:eastAsia="en-US"/>
              </w:rPr>
              <w:lastRenderedPageBreak/>
              <w:t xml:space="preserve">zdrowia przez personel zarządzający średniego szczebla i specjalistów, zarówno medyczny jak i niemedyczny pozwoli na usprawnienie procesów jakie realizowane są w podmiotach leczniczych. Zróżnicowanie ról i uprawnień, a w ślad za tym inne cele i zadania do zrealizowania, często stanowią przyczynę zakłóceń w zarządzaniu jednostką jako całością. Wdrożenie Lean pozwoli na uświadomienie personelowi istoty nowego efektywnego dla całej placówki sposobu zarządzania. [4,5,6,7] </w:t>
            </w:r>
          </w:p>
          <w:p w14:paraId="2ED0A062"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Zgodnie z rekomendacją Rady ds. kompetencji w sektorze opieki zdrowotnej i pomocy społecznej [8] personel medyczny powinien cechować się m.in.:</w:t>
            </w:r>
          </w:p>
          <w:p w14:paraId="14A58EEB" w14:textId="77777777" w:rsidR="00272ED5" w:rsidRPr="00272ED5" w:rsidRDefault="00272ED5" w:rsidP="00BC2D65">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kompetencjami użytkowania technologii medycznych w ramach realizowanych przez siebie procesów pracy, </w:t>
            </w:r>
          </w:p>
          <w:p w14:paraId="2E689381" w14:textId="77777777" w:rsidR="00272ED5" w:rsidRPr="00272ED5" w:rsidRDefault="00272ED5" w:rsidP="00BC2D65">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 kompetencjami interpersonalnymi (komunikowanie się, praca w zespole), </w:t>
            </w:r>
          </w:p>
          <w:p w14:paraId="7CEF964C" w14:textId="77777777" w:rsidR="00272ED5" w:rsidRPr="00272ED5" w:rsidRDefault="00272ED5" w:rsidP="00BC2D65">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 kompetencjami managerskimi. </w:t>
            </w:r>
          </w:p>
          <w:p w14:paraId="0E65EB08" w14:textId="77777777" w:rsidR="00272ED5" w:rsidRPr="00272ED5" w:rsidRDefault="00272ED5" w:rsidP="00272ED5">
            <w:pPr>
              <w:pStyle w:val="NormalnyWeb"/>
              <w:spacing w:before="0" w:beforeAutospacing="0" w:after="0" w:afterAutospacing="0"/>
              <w:ind w:left="780"/>
              <w:jc w:val="both"/>
              <w:rPr>
                <w:rFonts w:asciiTheme="minorHAnsi" w:eastAsiaTheme="minorHAnsi" w:hAnsiTheme="minorHAnsi" w:cstheme="minorBidi"/>
                <w:sz w:val="22"/>
                <w:szCs w:val="22"/>
                <w:lang w:eastAsia="en-US"/>
              </w:rPr>
            </w:pPr>
          </w:p>
          <w:p w14:paraId="76F64A79"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Rada ds. kompetencji w sektorze opieki zdrowotnej i pomocy społecznej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 lecznicze (np. dostawcy leków, sprzętu, laboratoria, podmioty nadzorujące itd.). Stosowanie tej metody w różnych jego obszarach podnosi więc efektywność całego systemu. Wykorzystywane w metodyce techniki monitorowania procesów oraz identyfikacji i zapobieganiu występującym w procesie problemom zapewniają nie tylko efektywność bieżącego zarządzania zadaniami, ale i okresowej analizy trendów, a tym samym wyzwań stojących przed sektorem. Wyższe poziomy kwalifikacji (Lean Ekspert, Lean Lider) wprowadzając elementy bieżącego monitorowania efektywności procesu, niezwłocznego 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w:t>
            </w:r>
            <w:r w:rsidRPr="00272ED5">
              <w:rPr>
                <w:rFonts w:asciiTheme="minorHAnsi" w:eastAsiaTheme="minorHAnsi" w:hAnsiTheme="minorHAnsi" w:cstheme="minorBidi"/>
                <w:sz w:val="22"/>
                <w:szCs w:val="22"/>
                <w:lang w:eastAsia="en-US"/>
              </w:rPr>
              <w:lastRenderedPageBreak/>
              <w:t xml:space="preserve">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 innowacji z perspektywy 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zarządzania procesami z perspektywy wszystkich interesariuszy systemu ochrony zdrowia. Wybór metodyki Lean Management jako bazy do przygotowania kwalifikacji wynika z jej uniwersalnego charakteru oraz specyficznych potrzeb systemu ochrony zdrowia opisanych powyżej. Koncepcja Lean Management [13] wiąże się ze słowem „lean” w języku angielskim oznaczającym „szczupły”. W organizacji związanej z ochroną zdrowia „wyszczuplenie” powinno prowadzić do osiągnięcia stanu możliwe największej zgodności pomiędzy potrzebami pacjenta (klienta) a możliwościami podmiotu (np. w zakresie efektywnego wykorzystania zasobów podmiotu). Pojęcie Lean jest wielowymiarowe i obejmuje odpowiednio: </w:t>
            </w:r>
          </w:p>
          <w:p w14:paraId="6194097A" w14:textId="77777777" w:rsidR="00272ED5" w:rsidRPr="00272ED5" w:rsidRDefault="00272ED5" w:rsidP="00BC2D65">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filozofię lean – dotyczącą konieczności ciągłego doskonalenia, opartą na eliminacji marnotrawstwa i samodoskonaleniu;</w:t>
            </w:r>
          </w:p>
          <w:p w14:paraId="073C818A" w14:textId="77777777" w:rsidR="00272ED5" w:rsidRPr="00272ED5" w:rsidRDefault="00272ED5" w:rsidP="00BC2D65">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lean thinking – sposób myślenia koncentrujący się na zwiększaniu produktywności przez identyfikację działań, które nie przynoszą wartości dodanej, oraz ich eliminację; </w:t>
            </w:r>
          </w:p>
          <w:p w14:paraId="3742340B" w14:textId="77777777" w:rsidR="00272ED5" w:rsidRPr="00272ED5" w:rsidRDefault="00272ED5" w:rsidP="00BC2D65">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lean management – koncepcję kompleksowego zarządzania organizacją, polegająca na eliminacji strat na wszystkich płaszczyznach działalności;</w:t>
            </w:r>
          </w:p>
          <w:p w14:paraId="01D36A95" w14:textId="77777777" w:rsidR="00272ED5" w:rsidRPr="00272ED5" w:rsidRDefault="00272ED5" w:rsidP="00BC2D65">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lean manufacturing – system szczupłej produkcji (czy też świadczenia usług), wykorzystujący narzędzia ciągłego doskonalenia. </w:t>
            </w:r>
          </w:p>
          <w:p w14:paraId="26AC8EC7" w14:textId="77777777" w:rsidR="00272ED5" w:rsidRPr="00272ED5" w:rsidRDefault="00272ED5" w:rsidP="00272ED5">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44EE280F" w14:textId="585E3D1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Lean Management odnosi się do „paradygmatu dotyczącego sposobu myślenia o tworzeniu wartości z punktu widzenia pacjenta (klienta) i eliminacji marnotrawstwa w trakcie procesów zachodzących w organizacji. M. Graban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w:t>
            </w:r>
            <w:r w:rsidRPr="00272ED5">
              <w:rPr>
                <w:rFonts w:asciiTheme="minorHAnsi" w:eastAsiaTheme="minorHAnsi" w:hAnsiTheme="minorHAnsi" w:cstheme="minorBidi"/>
                <w:sz w:val="22"/>
                <w:szCs w:val="22"/>
                <w:lang w:eastAsia="en-US"/>
              </w:rPr>
              <w:lastRenderedPageBreak/>
              <w:t xml:space="preserve">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 ochrony zdrowia,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finansujący system jak Narodowy Fundusz Zdrowia) i obserwacje występujących marnotrawstw typu: </w:t>
            </w:r>
          </w:p>
          <w:p w14:paraId="7F83A807" w14:textId="77777777" w:rsidR="00272ED5" w:rsidRPr="00272ED5" w:rsidRDefault="00272ED5" w:rsidP="00BC2D65">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Nieodpowiednio zorganizowane stanowiska pracy, co skutkuje zbędnym przemieszczaniem się personelu. Zdarza się także, że pacjenci bez potrzeby przesuwani są pomiędzy poszczególnymi ośrodkami ochrony zdrowia. </w:t>
            </w:r>
          </w:p>
          <w:p w14:paraId="78D219EA" w14:textId="77777777" w:rsidR="00272ED5" w:rsidRPr="00272ED5" w:rsidRDefault="00272ED5" w:rsidP="00BC2D65">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Zbędny transport, oznaczający m.in. przenoszenie pacjentów (materiałów, leków) pomiędzy oddziałami czy klinikami. </w:t>
            </w:r>
          </w:p>
          <w:p w14:paraId="2F390C23" w14:textId="77777777" w:rsidR="00272ED5" w:rsidRPr="00272ED5" w:rsidRDefault="00272ED5" w:rsidP="00BC2D65">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Nadprodukcja, dotycząca przede wszystkim biurokracji, zlecania niepotrzebnych badań i przepisywania niepotrzebnych leków, gdyż jest niepełny przepływ informacji z uwagi na złą organizację pracy w danym segmencie czy pionie placówki ochrony zdrowia. </w:t>
            </w:r>
          </w:p>
          <w:p w14:paraId="3A93645F" w14:textId="77777777" w:rsidR="00272ED5" w:rsidRPr="00272ED5" w:rsidRDefault="00272ED5" w:rsidP="00BC2D65">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Nadmierne zapasy, skutkujące wysokimi kosztami związanymi z transportem i magazynowaniem materiałów medycznych. </w:t>
            </w:r>
          </w:p>
          <w:p w14:paraId="437E5931" w14:textId="77777777" w:rsidR="00272ED5" w:rsidRPr="00272ED5" w:rsidRDefault="00272ED5" w:rsidP="00272ED5">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61308DFB" w14:textId="77777777" w:rsidR="00272ED5" w:rsidRPr="00272ED5" w:rsidRDefault="00272ED5" w:rsidP="00272ED5">
            <w:pPr>
              <w:pStyle w:val="NormalnyWeb"/>
              <w:spacing w:before="0" w:beforeAutospacing="0" w:after="0" w:afterAutospacing="0"/>
              <w:jc w:val="both"/>
              <w:rPr>
                <w:rFonts w:asciiTheme="minorHAnsi" w:eastAsiaTheme="minorHAnsi" w:hAnsiTheme="minorHAnsi" w:cstheme="minorBidi"/>
                <w:sz w:val="22"/>
                <w:szCs w:val="22"/>
                <w:lang w:eastAsia="en-US"/>
              </w:rPr>
            </w:pPr>
            <w:r w:rsidRPr="00272ED5">
              <w:rPr>
                <w:rFonts w:asciiTheme="minorHAnsi" w:eastAsiaTheme="minorHAnsi" w:hAnsiTheme="minorHAnsi" w:cstheme="minorBidi"/>
                <w:sz w:val="22"/>
                <w:szCs w:val="22"/>
                <w:lang w:eastAsia="en-US"/>
              </w:rPr>
              <w:t xml:space="preserve">Proponowana kwalifikacja wychodzi również naprzeciw wyzwaniom jakie zostały określone w „Analizie potrzeb szkoleniowych pracowników sektora zdrowia – etap II” z 2020 r. [14]. Powyższy raport określa główne obszary zainteresowania szkoleniami kadry administracyjnej jak i pracowników medycznych. Wskazując m.in. na aspekty łączenia uniwersalnych elementów edukacyjnych z praktyką i specyfiką sektora ochrony zdrowia oraz uwzględnienia aspektów umiejętności interpersonalnych i psychologicznych w sytuacjach napięcia, presji czasu lub niedoborów kadrowych. Wnioskowana kwalifikacja uwzględnia wszystkie te elementy 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Systemu Kwalifikacji zaproponowanej kwalifikacji zarządzania procesami i zespołami sektora ochrony zdrowia z wykorzystaniem metodyki Lean Management uzupełni </w:t>
            </w:r>
            <w:r w:rsidRPr="00272ED5">
              <w:rPr>
                <w:rFonts w:asciiTheme="minorHAnsi" w:eastAsiaTheme="minorHAnsi" w:hAnsiTheme="minorHAnsi" w:cstheme="minorBidi"/>
                <w:sz w:val="22"/>
                <w:szCs w:val="22"/>
                <w:lang w:eastAsia="en-US"/>
              </w:rPr>
              <w:lastRenderedPageBreak/>
              <w:t xml:space="preserve">wachlarz kwalifikacji personelu medycznego i niemedycznego w obszarze biznesowo-zarządczym/biznesowo-administracyjnym. Sektor ochrony zdrowia reguluje kwalifikacje dla personelu medycznego wykonującego ściśle świadczenia zdrowotne, natomiast przedmiotowa kwalifikacja poszerzyłaby je o kolejne segmenty dając efekt całościowego spojrzenia na procesy zachodzące w ochronie zdrowia i ich złożoność. Ponadto, dzięki kompleksowemu podejściu metodyki Lean ww. kwalifikacja uzupełni obszar 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nie tylko na poprawę jakości świadczeń, jak i realizację potrzeb społecznych pacjentów z uwzględnieniem osób z niepełnosprawnościami. [15,16,17] </w:t>
            </w:r>
          </w:p>
          <w:p w14:paraId="1EC3C694" w14:textId="77777777" w:rsidR="00272ED5" w:rsidRDefault="00272ED5" w:rsidP="00272ED5">
            <w:pPr>
              <w:pStyle w:val="NormalnyWeb"/>
              <w:spacing w:before="0" w:beforeAutospacing="0" w:after="0" w:afterAutospacing="0"/>
              <w:jc w:val="both"/>
              <w:rPr>
                <w:rFonts w:ascii="Arial" w:hAnsi="Arial" w:cs="Arial"/>
                <w:sz w:val="22"/>
                <w:szCs w:val="22"/>
              </w:rPr>
            </w:pPr>
          </w:p>
          <w:p w14:paraId="57A5E0EC"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635CB2">
              <w:rPr>
                <w:rFonts w:ascii="Arial" w:hAnsi="Arial" w:cs="Arial"/>
                <w:sz w:val="20"/>
                <w:szCs w:val="20"/>
              </w:rPr>
              <w:t>[</w:t>
            </w:r>
            <w:r w:rsidRPr="00391C28">
              <w:rPr>
                <w:rFonts w:ascii="Arial" w:hAnsi="Arial" w:cs="Arial"/>
                <w:sz w:val="18"/>
                <w:szCs w:val="18"/>
              </w:rPr>
              <w:t xml:space="preserve">1] Agnieszka Bukowska-Piestrzyńska, Koncepcja lean w usprawnianiu działań pracowników podmiotów leczniczych, ZESZYT NAUKOWY 167/2018, Studia i prace, Kolegium Zarządzania i Finanse.), </w:t>
            </w:r>
          </w:p>
          <w:p w14:paraId="11B2B0AD"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[2] Bernatek A., Opłacalna inwestycja w Lean Healthcare, </w:t>
            </w:r>
            <w:hyperlink r:id="rId8" w:history="1">
              <w:r w:rsidRPr="00391C28">
                <w:rPr>
                  <w:rStyle w:val="Hipercze"/>
                  <w:rFonts w:ascii="Arial" w:hAnsi="Arial" w:cs="Arial"/>
                  <w:sz w:val="18"/>
                  <w:szCs w:val="18"/>
                </w:rPr>
                <w:t>http://www.leancenter.pl/bazawiedzy/artykul/article_id/101</w:t>
              </w:r>
            </w:hyperlink>
            <w:r w:rsidRPr="00391C28">
              <w:rPr>
                <w:rFonts w:ascii="Arial" w:hAnsi="Arial" w:cs="Arial"/>
                <w:sz w:val="18"/>
                <w:szCs w:val="18"/>
              </w:rPr>
              <w:t xml:space="preserve"> </w:t>
            </w:r>
          </w:p>
          <w:p w14:paraId="0F30A8C1" w14:textId="77777777" w:rsidR="00272ED5" w:rsidRPr="002A7F51" w:rsidRDefault="00272ED5" w:rsidP="00272ED5">
            <w:pPr>
              <w:pStyle w:val="NormalnyWeb"/>
              <w:spacing w:before="0" w:beforeAutospacing="0" w:after="0" w:afterAutospacing="0"/>
              <w:jc w:val="both"/>
              <w:rPr>
                <w:rFonts w:ascii="Arial" w:hAnsi="Arial" w:cs="Arial"/>
                <w:sz w:val="18"/>
                <w:szCs w:val="18"/>
                <w:lang w:val="en-US"/>
              </w:rPr>
            </w:pPr>
            <w:r w:rsidRPr="002A7F51">
              <w:rPr>
                <w:rFonts w:ascii="Arial" w:hAnsi="Arial" w:cs="Arial"/>
                <w:sz w:val="18"/>
                <w:szCs w:val="18"/>
                <w:lang w:val="en-US"/>
              </w:rPr>
              <w:t xml:space="preserve">[3] Brännmark M., Halvarsson A., Lindskog P., Implementing Lean in Swedish Municipalities and Hospitals, </w:t>
            </w:r>
            <w:hyperlink r:id="rId9" w:history="1">
              <w:r w:rsidRPr="002A7F51">
                <w:rPr>
                  <w:rStyle w:val="Hipercze"/>
                  <w:rFonts w:ascii="Arial" w:hAnsi="Arial" w:cs="Arial"/>
                  <w:sz w:val="18"/>
                  <w:szCs w:val="18"/>
                  <w:lang w:val="en-US"/>
                </w:rPr>
                <w:t>http://www.diva-portal.org/smash/get/diva2:460019/FULLTEXT01</w:t>
              </w:r>
            </w:hyperlink>
            <w:r w:rsidRPr="002A7F51">
              <w:rPr>
                <w:rFonts w:ascii="Arial" w:hAnsi="Arial" w:cs="Arial"/>
                <w:sz w:val="18"/>
                <w:szCs w:val="18"/>
                <w:lang w:val="en-US"/>
              </w:rPr>
              <w:t xml:space="preserve"> </w:t>
            </w:r>
          </w:p>
          <w:p w14:paraId="58C6A7AA"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2A7F51">
              <w:rPr>
                <w:rFonts w:ascii="Arial" w:hAnsi="Arial" w:cs="Arial"/>
                <w:sz w:val="18"/>
                <w:szCs w:val="18"/>
                <w:lang w:val="en-US"/>
              </w:rPr>
              <w:t xml:space="preserve">[4] Graban M.: Lean hospitals. </w:t>
            </w:r>
            <w:r w:rsidRPr="00391C28">
              <w:rPr>
                <w:rFonts w:ascii="Arial" w:hAnsi="Arial" w:cs="Arial"/>
                <w:sz w:val="18"/>
                <w:szCs w:val="18"/>
                <w:lang w:val="en-US"/>
              </w:rPr>
              <w:t xml:space="preserve">Improving quality, patientssafety, and employee satisfaction, Productivity Press Taylor &amp; Francis Group, New York 2009, s. 15, </w:t>
            </w:r>
          </w:p>
          <w:p w14:paraId="581AFD66"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391C28">
              <w:rPr>
                <w:rFonts w:ascii="Arial" w:hAnsi="Arial" w:cs="Arial"/>
                <w:sz w:val="18"/>
                <w:szCs w:val="18"/>
                <w:lang w:val="en-US"/>
              </w:rPr>
              <w:t xml:space="preserve">[5] Mazzocato P., Holden R.J., Brommels M., Aronsson H., Bäckman U., Elg M. i wsp.: How does lean work in emergency are? A case study of a lean-inspired intervention at the Astrid Lindgren Children’s hospital, Stockholm, Sweden BMC Health Services Research 2012. Adres: </w:t>
            </w:r>
            <w:hyperlink r:id="rId10" w:history="1">
              <w:r w:rsidRPr="00391C28">
                <w:rPr>
                  <w:rStyle w:val="Hipercze"/>
                  <w:rFonts w:ascii="Arial" w:hAnsi="Arial" w:cs="Arial"/>
                  <w:sz w:val="18"/>
                  <w:szCs w:val="18"/>
                  <w:lang w:val="en-US"/>
                </w:rPr>
                <w:t>http://www.biomedcentral.com/1472-6963/12/28</w:t>
              </w:r>
            </w:hyperlink>
            <w:r w:rsidRPr="00391C28">
              <w:rPr>
                <w:rFonts w:ascii="Arial" w:hAnsi="Arial" w:cs="Arial"/>
                <w:sz w:val="18"/>
                <w:szCs w:val="18"/>
                <w:lang w:val="en-US"/>
              </w:rPr>
              <w:t xml:space="preserve"> </w:t>
            </w:r>
          </w:p>
          <w:p w14:paraId="1E780753"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lang w:val="en-US"/>
              </w:rPr>
              <w:t xml:space="preserve">[6] Elsler D., Eeckelaert L.: Factors influencing the transferability of occupational safety and health economic incentive schemes between different countries. </w:t>
            </w:r>
            <w:r w:rsidRPr="00391C28">
              <w:rPr>
                <w:rFonts w:ascii="Arial" w:hAnsi="Arial" w:cs="Arial"/>
                <w:sz w:val="18"/>
                <w:szCs w:val="18"/>
              </w:rPr>
              <w:t xml:space="preserve">Scand. J. Work Environ. Health 2010;36(4):325–331, </w:t>
            </w:r>
          </w:p>
          <w:p w14:paraId="7DBDC9C0"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Nofera w Łodzi, </w:t>
            </w:r>
            <w:hyperlink r:id="rId11" w:history="1">
              <w:r w:rsidRPr="00391C28">
                <w:rPr>
                  <w:rStyle w:val="Hipercze"/>
                  <w:rFonts w:ascii="Arial" w:hAnsi="Arial" w:cs="Arial"/>
                  <w:sz w:val="18"/>
                  <w:szCs w:val="18"/>
                </w:rPr>
                <w:t>http://medpr.imp.lodz.pl</w:t>
              </w:r>
            </w:hyperlink>
            <w:r w:rsidRPr="00391C28">
              <w:rPr>
                <w:rFonts w:ascii="Arial" w:hAnsi="Arial" w:cs="Arial"/>
                <w:sz w:val="18"/>
                <w:szCs w:val="18"/>
              </w:rPr>
              <w:t xml:space="preserve"> </w:t>
            </w:r>
          </w:p>
          <w:p w14:paraId="74F1B957" w14:textId="77777777" w:rsidR="00272ED5" w:rsidRPr="00521137"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[8] REKOMENDACJA NR 1/2018 RADY DS. </w:t>
            </w:r>
            <w:r w:rsidRPr="00521137">
              <w:rPr>
                <w:rFonts w:ascii="Arial" w:hAnsi="Arial" w:cs="Arial"/>
                <w:sz w:val="18"/>
                <w:szCs w:val="18"/>
              </w:rPr>
              <w:t xml:space="preserve">Kompetencji w Sektorze Opieki Zdrowotnej i Pomocy Społecznej, wydana Uchwałą Rady nr 1/2018 z dnia 19.12.2018r. </w:t>
            </w:r>
            <w:hyperlink r:id="rId12" w:history="1">
              <w:r w:rsidRPr="00521137">
                <w:rPr>
                  <w:rStyle w:val="Hipercze"/>
                  <w:rFonts w:ascii="Arial" w:hAnsi="Arial" w:cs="Arial"/>
                  <w:sz w:val="18"/>
                  <w:szCs w:val="18"/>
                </w:rPr>
                <w:t>https://www.parp.gov.pl/storage/grants/documents/116/Zacznik_15.2C-REKOMENDACJA-RADY-OPIEKA-ZDROWOTNA-obowizujcy-od-15.05.2019r._190515.pdf</w:t>
              </w:r>
            </w:hyperlink>
            <w:r w:rsidRPr="00521137">
              <w:rPr>
                <w:rFonts w:ascii="Arial" w:hAnsi="Arial" w:cs="Arial"/>
                <w:sz w:val="18"/>
                <w:szCs w:val="18"/>
              </w:rPr>
              <w:t xml:space="preserve"> </w:t>
            </w:r>
          </w:p>
          <w:p w14:paraId="786042B3"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391C28">
              <w:rPr>
                <w:rFonts w:ascii="Arial" w:hAnsi="Arial" w:cs="Arial"/>
                <w:sz w:val="18"/>
                <w:szCs w:val="18"/>
                <w:lang w:val="en-US"/>
              </w:rPr>
              <w:t xml:space="preserve">[9] Harvard Medical School, Trends in Medicine (March 12, 2021) “Developing Learning Health Systems to Navigate the COVID-19 Pandemic” </w:t>
            </w:r>
            <w:hyperlink r:id="rId13" w:history="1">
              <w:r w:rsidRPr="00391C28">
                <w:rPr>
                  <w:rStyle w:val="Hipercze"/>
                  <w:rFonts w:ascii="Arial" w:hAnsi="Arial" w:cs="Arial"/>
                  <w:sz w:val="18"/>
                  <w:szCs w:val="18"/>
                  <w:lang w:val="en-US"/>
                </w:rPr>
                <w:t>https://postgraduateeducation.hms.harvard.edu/trends-medicine/developing-learning-health-systems-navigate-covid-19-pandemic</w:t>
              </w:r>
            </w:hyperlink>
            <w:r w:rsidRPr="00391C28">
              <w:rPr>
                <w:rFonts w:ascii="Arial" w:hAnsi="Arial" w:cs="Arial"/>
                <w:sz w:val="18"/>
                <w:szCs w:val="18"/>
                <w:lang w:val="en-US"/>
              </w:rPr>
              <w:t xml:space="preserve"> </w:t>
            </w:r>
          </w:p>
          <w:p w14:paraId="1FEBD639"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391C28">
              <w:rPr>
                <w:rFonts w:ascii="Arial" w:hAnsi="Arial" w:cs="Arial"/>
                <w:sz w:val="18"/>
                <w:szCs w:val="18"/>
                <w:lang w:val="en-US"/>
              </w:rPr>
              <w:t xml:space="preserve">[10] The Health Foundation “Shaping the future” (2015) </w:t>
            </w:r>
            <w:hyperlink r:id="rId14" w:history="1">
              <w:r w:rsidRPr="00391C28">
                <w:rPr>
                  <w:rStyle w:val="Hipercze"/>
                  <w:rFonts w:ascii="Arial" w:hAnsi="Arial" w:cs="Arial"/>
                  <w:sz w:val="18"/>
                  <w:szCs w:val="18"/>
                  <w:lang w:val="en-US"/>
                </w:rPr>
                <w:t>https://www.health.org.uk/publications/shaping-the-future</w:t>
              </w:r>
            </w:hyperlink>
            <w:r w:rsidRPr="00391C28">
              <w:rPr>
                <w:rFonts w:ascii="Arial" w:hAnsi="Arial" w:cs="Arial"/>
                <w:sz w:val="18"/>
                <w:szCs w:val="18"/>
                <w:lang w:val="en-US"/>
              </w:rPr>
              <w:t xml:space="preserve"> </w:t>
            </w:r>
          </w:p>
          <w:p w14:paraId="358612AA"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391C28">
              <w:rPr>
                <w:rFonts w:ascii="Arial" w:hAnsi="Arial" w:cs="Arial"/>
                <w:sz w:val="18"/>
                <w:szCs w:val="18"/>
                <w:lang w:val="en-US"/>
              </w:rPr>
              <w:t xml:space="preserve">[11] OECD (2021), Pharmaceutical spending (indicator). doi: 10.1787/998febf6-en (Accessed on 26 March 2021) </w:t>
            </w:r>
            <w:hyperlink r:id="rId15" w:history="1">
              <w:r w:rsidRPr="00391C28">
                <w:rPr>
                  <w:rStyle w:val="Hipercze"/>
                  <w:rFonts w:ascii="Arial" w:hAnsi="Arial" w:cs="Arial"/>
                  <w:sz w:val="18"/>
                  <w:szCs w:val="18"/>
                  <w:lang w:val="en-US"/>
                </w:rPr>
                <w:t>https://data.oecd.org/healthres/pharmaceutical-spending.htm</w:t>
              </w:r>
            </w:hyperlink>
            <w:r w:rsidRPr="00391C28">
              <w:rPr>
                <w:rFonts w:ascii="Arial" w:hAnsi="Arial" w:cs="Arial"/>
                <w:sz w:val="18"/>
                <w:szCs w:val="18"/>
                <w:lang w:val="en-US"/>
              </w:rPr>
              <w:t xml:space="preserve"> </w:t>
            </w:r>
          </w:p>
          <w:p w14:paraId="7386C1F2" w14:textId="77777777" w:rsidR="00272ED5" w:rsidRPr="00391C28" w:rsidRDefault="00272ED5" w:rsidP="00272ED5">
            <w:pPr>
              <w:pStyle w:val="NormalnyWeb"/>
              <w:spacing w:before="0" w:beforeAutospacing="0" w:after="0" w:afterAutospacing="0"/>
              <w:jc w:val="both"/>
              <w:rPr>
                <w:rFonts w:ascii="Arial" w:hAnsi="Arial" w:cs="Arial"/>
                <w:sz w:val="18"/>
                <w:szCs w:val="18"/>
                <w:lang w:val="en-US"/>
              </w:rPr>
            </w:pPr>
            <w:r w:rsidRPr="00391C28">
              <w:rPr>
                <w:rFonts w:ascii="Arial" w:hAnsi="Arial" w:cs="Arial"/>
                <w:sz w:val="18"/>
                <w:szCs w:val="18"/>
                <w:lang w:val="en-US"/>
              </w:rPr>
              <w:t xml:space="preserve">[12] Health Sector Study EU Final Report (March 2019) – strona 20 </w:t>
            </w:r>
            <w:hyperlink r:id="rId16" w:history="1">
              <w:r w:rsidRPr="00391C28">
                <w:rPr>
                  <w:rStyle w:val="Hipercze"/>
                  <w:rFonts w:ascii="Arial" w:hAnsi="Arial" w:cs="Arial"/>
                  <w:sz w:val="18"/>
                  <w:szCs w:val="18"/>
                  <w:lang w:val="en-US"/>
                </w:rPr>
                <w:t>https://eiah.eib.org/publications/attachments/report-health-sector-study-20180322-en.pdf</w:t>
              </w:r>
            </w:hyperlink>
            <w:r w:rsidRPr="00391C28">
              <w:rPr>
                <w:rFonts w:ascii="Arial" w:hAnsi="Arial" w:cs="Arial"/>
                <w:sz w:val="18"/>
                <w:szCs w:val="18"/>
                <w:lang w:val="en-US"/>
              </w:rPr>
              <w:t xml:space="preserve"> </w:t>
            </w:r>
          </w:p>
          <w:p w14:paraId="13CB57FA"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2A7F51">
              <w:rPr>
                <w:rFonts w:ascii="Arial" w:hAnsi="Arial" w:cs="Arial"/>
                <w:sz w:val="18"/>
                <w:szCs w:val="18"/>
              </w:rPr>
              <w:lastRenderedPageBreak/>
              <w:t xml:space="preserve">[13] Bukowska-Piestrzyńska, A. (2018). </w:t>
            </w:r>
            <w:r w:rsidRPr="00391C28">
              <w:rPr>
                <w:rFonts w:ascii="Arial" w:hAnsi="Arial" w:cs="Arial"/>
                <w:sz w:val="18"/>
                <w:szCs w:val="18"/>
              </w:rPr>
              <w:t xml:space="preserve">„Koncepcja lean w usprawnianiu działań pracowników podmiotów leczniczych”. Studia i Prace Kolegium Zarządzania i Finansów (167) s 65-78. </w:t>
            </w:r>
            <w:hyperlink r:id="rId17" w:history="1">
              <w:r w:rsidRPr="00391C28">
                <w:rPr>
                  <w:rStyle w:val="Hipercze"/>
                  <w:rFonts w:ascii="Arial" w:hAnsi="Arial" w:cs="Arial"/>
                  <w:sz w:val="18"/>
                  <w:szCs w:val="18"/>
                </w:rPr>
                <w:t>https://sslkolegia.sgh.waw.pl/pl/KZiF/czasopisma/zeszytynaukowestudiaipracekzif/Documents/16704Bukowska.pdf</w:t>
              </w:r>
            </w:hyperlink>
            <w:r w:rsidRPr="00391C28">
              <w:rPr>
                <w:rFonts w:ascii="Arial" w:hAnsi="Arial" w:cs="Arial"/>
                <w:sz w:val="18"/>
                <w:szCs w:val="18"/>
              </w:rPr>
              <w:t xml:space="preserve">  </w:t>
            </w:r>
          </w:p>
          <w:p w14:paraId="7AFADD6B"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[14] Raport końcowy: „Analiza potrzeb szkoleniowych pracowników sektora zdrowia – etap II”, Warszawa, 2020. Raport opracowany przez IBCGROUP Central Europe Holding S.A. </w:t>
            </w:r>
            <w:hyperlink r:id="rId18" w:history="1">
              <w:r w:rsidRPr="00391C28">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391C28">
              <w:rPr>
                <w:rFonts w:ascii="Arial" w:hAnsi="Arial" w:cs="Arial"/>
                <w:sz w:val="18"/>
                <w:szCs w:val="18"/>
              </w:rPr>
              <w:t xml:space="preserve"> </w:t>
            </w:r>
          </w:p>
          <w:p w14:paraId="050D5CA4"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[15] Program rządowy Dostępność plus 2018-2025, Ministerstwo Inwestycji i Rozwoju, Lipiec 2018, </w:t>
            </w:r>
          </w:p>
          <w:p w14:paraId="6CA7C256"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[16] </w:t>
            </w:r>
            <w:hyperlink r:id="rId19" w:history="1">
              <w:r w:rsidRPr="00391C28">
                <w:rPr>
                  <w:rStyle w:val="Hipercze"/>
                  <w:rFonts w:ascii="Arial" w:hAnsi="Arial" w:cs="Arial"/>
                  <w:sz w:val="18"/>
                  <w:szCs w:val="18"/>
                </w:rPr>
                <w:t>https://www.gov.pl/web/edukacja-i-nauka/perspektywa-uczenia-sie-przez-cale-zycie</w:t>
              </w:r>
            </w:hyperlink>
            <w:r w:rsidRPr="00391C28">
              <w:rPr>
                <w:rFonts w:ascii="Arial" w:hAnsi="Arial" w:cs="Arial"/>
                <w:sz w:val="18"/>
                <w:szCs w:val="18"/>
              </w:rPr>
              <w:t xml:space="preserve">, </w:t>
            </w:r>
          </w:p>
          <w:p w14:paraId="7AD7575F" w14:textId="77777777" w:rsidR="00272ED5" w:rsidRPr="00391C28" w:rsidRDefault="00272ED5" w:rsidP="00272ED5">
            <w:pPr>
              <w:pStyle w:val="NormalnyWeb"/>
              <w:spacing w:before="0" w:beforeAutospacing="0" w:after="0" w:afterAutospacing="0"/>
              <w:jc w:val="both"/>
              <w:rPr>
                <w:rFonts w:ascii="Arial" w:hAnsi="Arial" w:cs="Arial"/>
                <w:sz w:val="18"/>
                <w:szCs w:val="18"/>
              </w:rPr>
            </w:pPr>
            <w:r w:rsidRPr="00391C28">
              <w:rPr>
                <w:rFonts w:ascii="Arial" w:hAnsi="Arial" w:cs="Arial"/>
                <w:sz w:val="18"/>
                <w:szCs w:val="18"/>
              </w:rPr>
              <w:t xml:space="preserve">[17] Perspektywa uczenia się przez całe życie, Załącznik do uchwały Nr 160/2013 Rady Ministrów z dnia 10 września 2013 r, Warszawa. </w:t>
            </w:r>
          </w:p>
          <w:p w14:paraId="14EF0DD2" w14:textId="056EA047" w:rsidR="00C21CEE" w:rsidRPr="00407AC6" w:rsidRDefault="00C21CEE" w:rsidP="00272ED5">
            <w:pPr>
              <w:spacing w:after="120"/>
              <w:contextualSpacing/>
              <w:jc w:val="both"/>
            </w:pP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AD350D">
        <w:tc>
          <w:tcPr>
            <w:tcW w:w="201"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43"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3178445A" w14:textId="77777777" w:rsidR="00F65699" w:rsidRPr="00F65699" w:rsidRDefault="00F65699" w:rsidP="00F65699">
            <w:pPr>
              <w:pStyle w:val="NormalnyWeb"/>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(Lean Office)”, której celem jest zdobycie kwalifikacji trenera wspierającego efektywność procesów biurowych. W każdym z tych przypadków występuje podobny charakter tematyczny dotyczący podstaw Lean Management jednak nie koncentrują się one na specyfice systemu ochrony zdrowia.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jeszcze raz podkreślenia – na poziomie teoretycznym. Posiadanie podstaw teoretycznych zdobytych w ramach wskazanych innych kwalifikacji może pomóc, uzyskać kwalifikację na poziomie LEAN INSPIRATOR, jednak umiejętność zarządzania i usprawniania procesów w sektorze ochrony zdrowia wymaga uwzględnienia specyfiki tegoż sektora (otoczenie prawno-instytucjonalne), pacjenta (aspekty empatii, zagrożenia życia, dylematów moralnych itp., bezpieczeństwa) oraz wagi całego systemu dla funkcjonowania społeczeństw jako takich (dostępność i ekonomika usług zdrowotnych). Osiągniecie wnioskowanej kwalifikacji wymaga łączenia ze sobą elementów teoretycznych z obszaru Lean Management z praktycznym ich zastosowaniem w sektorze ochrony zdrowia oraz uwzględnienia aspektów specyficznych dla tego sektora, co czyni porównywanie efektów uczenia tej kwalifikacji z innymi, podobnymi tematycznie </w:t>
            </w:r>
            <w:r w:rsidRPr="00F65699">
              <w:rPr>
                <w:rFonts w:asciiTheme="minorHAnsi" w:eastAsiaTheme="minorHAnsi" w:hAnsiTheme="minorHAnsi" w:cstheme="minorBidi"/>
                <w:sz w:val="22"/>
                <w:szCs w:val="22"/>
                <w:lang w:eastAsia="en-US"/>
              </w:rPr>
              <w:lastRenderedPageBreak/>
              <w:t xml:space="preserve">kwalifikacjami bezzasadnym. Włączenie kwalifikacji do ZSK pozwoli na potwierdzenie kompetencji osób uczestniczących w procesach występujących w systemie ochrony zdrowia oraz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 </w:t>
            </w:r>
          </w:p>
          <w:p w14:paraId="75641978" w14:textId="6DCDDF33" w:rsidR="00C21CEE" w:rsidRPr="006B60E4" w:rsidRDefault="00C21CEE" w:rsidP="00F65699">
            <w:pPr>
              <w:pStyle w:val="NormalnyWeb"/>
              <w:jc w:val="both"/>
            </w:pP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AD350D">
        <w:tc>
          <w:tcPr>
            <w:tcW w:w="201"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43"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12D6B787" w14:textId="77777777" w:rsidR="00F65699" w:rsidRPr="00F65699" w:rsidRDefault="00F65699" w:rsidP="00F65699">
            <w:pPr>
              <w:pStyle w:val="NormalnyWeb"/>
              <w:spacing w:before="0" w:beforeAutospacing="0" w:after="0" w:afterAutospacing="0"/>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Kwalifikacja może być wykorzystana na stanowiskach kierowniczych i specjalistycznych w sektorze ochrony zdrowia (medycznych jak i administracyjnych) w zakresie: </w:t>
            </w:r>
          </w:p>
          <w:p w14:paraId="524B6EEA" w14:textId="77777777" w:rsidR="00F65699" w:rsidRPr="00F65699" w:rsidRDefault="00F65699" w:rsidP="00BC2D65">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weryfikacji i rzetelnej oceny adekwatności, kompletności i jakości pozyskiwanych danych o procesie a następnie analizy danych w celu nadania kierunków usprawnienia procesu, zwiększenia jego efektywności czy też poprawy satysfakcji pacjentów (na stanowiskach związanych z zarządzaniem jednostkami sektora, począwszy od najwyższego kierownictwa placówek ochrony zdrowia skończywszy na kierownikach zespołów), </w:t>
            </w:r>
          </w:p>
          <w:p w14:paraId="32EADBAE" w14:textId="77777777" w:rsidR="00F65699" w:rsidRPr="00F65699" w:rsidRDefault="00F65699" w:rsidP="00BC2D65">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zrozumienia i oceny procesów, powiązania sposobu wykonywanych czynności z ich efektywnością, jakością czy też wpływem na satysfakcję pacjenta oraz zrozumieniem powiązania dokonywanych pomiarów procesu z powyższymi na stanowiskach bezpośrednio związanych z ochroną zdrowia (lekarze, pielęgniarki, fizjoterapeuci, farmaceuci, psycholodzy itd.), </w:t>
            </w:r>
          </w:p>
          <w:p w14:paraId="76FA5F6D" w14:textId="77777777" w:rsidR="00F65699" w:rsidRPr="00F65699" w:rsidRDefault="00F65699" w:rsidP="00BC2D65">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zrozumienia i oceny procesów, powiązania sposobu wykonywanych czynności z ich efektywnością, jakością czy też wpływem na satysfakcję pacjenta oraz zrozumieniem powiązania dokonywanych pomiarów procesu z powyższymi na stanowiskach związanych z wykonywaniem czynności administracyjnych w sektorze (recepcjonistki, pracownicy call center, „help line”, kadr, administracji, komórek księgowych, logistycznych, rozliczeniowych, planistycznych, jakościowych, nadzoru, planowania, itp.), </w:t>
            </w:r>
          </w:p>
          <w:p w14:paraId="7E2BC1CB" w14:textId="77777777" w:rsidR="00F65699" w:rsidRPr="00F65699" w:rsidRDefault="00F65699" w:rsidP="00BC2D65">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F65699">
              <w:rPr>
                <w:rFonts w:asciiTheme="minorHAnsi" w:eastAsiaTheme="minorHAnsi" w:hAnsiTheme="minorHAnsi" w:cstheme="minorBidi"/>
                <w:sz w:val="22"/>
                <w:szCs w:val="22"/>
                <w:lang w:eastAsia="en-US"/>
              </w:rPr>
              <w:t xml:space="preserve">rzetelnej analizy procesów, zarządzania procesami, świadomego modelowania procesów w oparciu o fakty i przy wykorzystaniu przystępnych narzędzi, zrozumiałych dla uczestników procesu przez osoby odpowiedzialne za zarządzanie procesami w sektorze ochrony zdrowia. </w:t>
            </w:r>
          </w:p>
          <w:p w14:paraId="5F834CBF" w14:textId="59127B84" w:rsidR="009A59E7" w:rsidRPr="006B60E4" w:rsidRDefault="009A59E7" w:rsidP="00AD350D">
            <w:pPr>
              <w:jc w:val="both"/>
            </w:pP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AD350D">
        <w:tc>
          <w:tcPr>
            <w:tcW w:w="201"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43"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189D79DA"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Etap weryﬁkacji </w:t>
            </w:r>
          </w:p>
          <w:p w14:paraId="6C58667A"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1.1. Metody </w:t>
            </w:r>
          </w:p>
          <w:p w14:paraId="16603EB3"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05520D8E"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Weryﬁkacja składa się z dwóch etapów: części teoretycznej i części praktycznej. </w:t>
            </w:r>
          </w:p>
          <w:p w14:paraId="37DEC0BA"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779465A0"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Część teoretyczna opiera się na przeprowadzeniu i ocenie testu teoretycznego. </w:t>
            </w:r>
          </w:p>
          <w:p w14:paraId="130BA4F6"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40C43255"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Część praktyczna składa się z następujących elementów: </w:t>
            </w:r>
          </w:p>
          <w:p w14:paraId="41CBACDD" w14:textId="77777777" w:rsidR="00CF191E" w:rsidRPr="00CF191E" w:rsidRDefault="00CF191E" w:rsidP="00BC2D65">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obserwacji wdrażanych usprawnień w warunkach rzeczywistych, a jeżeli warunki techniczno-organizacyjne nie pozwalają na ten tryb obserwacji prezentacja filmu lub zdjęć dokumentujących zaistnienie walidowanych zdarzeń lub czynności - z perspektywy dokonania pomiarów minimum stanu obecnego oraz zaprojektowania sposobów pomiaru efektów wdrażanych zmian, </w:t>
            </w:r>
          </w:p>
          <w:p w14:paraId="3DB366CA" w14:textId="77777777" w:rsidR="00CF191E" w:rsidRPr="00CF191E" w:rsidRDefault="00CF191E" w:rsidP="00BC2D65">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prezentacji wdrażanych usprawnień (udokumentowany stan przed i po wdrożeniu, np. zdjęcia, filmy, dokumenty) w formie prezentacji multimedialnej, z wykorzystaniem graficznego przedstawienia zmian w procesie, eliminowanych marnotrawstw (stan obecny i stan przyszły),</w:t>
            </w:r>
          </w:p>
          <w:p w14:paraId="267B1852" w14:textId="77777777" w:rsidR="00CF191E" w:rsidRPr="00CF191E" w:rsidRDefault="00CF191E" w:rsidP="00BC2D65">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uzasadnienia merytorycznego i ekonomicznego proponowanych lub wdrażanych usprawnień, podlegających ocenie komisji egzaminacyjnej (wywiad ustrukturyzowany) w oparciu o fakty, liczby i wskaźniki zebrane i wykorzystywane do analizy i pomiaru wdrażanych usprawnień. </w:t>
            </w:r>
          </w:p>
          <w:p w14:paraId="5B60B976"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28B7BC22"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 tej części możliwe jest zaproszenie przez osobę podlegająca walidacji gości i zadawanie przez nich pytań dotyczących istoty wdrażanego usprawnienia oraz korzyści wynikających z jego wdrożenia. Goście to osoby, którym dane usprawnienie powinno przynieść wymierne korzyści (np. przełożeni, osoby z kierownictwa placówki, szefowie komórek jakości itp.). </w:t>
            </w:r>
          </w:p>
          <w:p w14:paraId="2BB93D25"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7C6B7148"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1.2. Zasoby kadrowe</w:t>
            </w:r>
          </w:p>
          <w:p w14:paraId="40E5C3E1"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p>
          <w:p w14:paraId="499857CB" w14:textId="0ED34F20" w:rsidR="00CF191E" w:rsidRDefault="00CF191E" w:rsidP="00BC2D65">
            <w:pPr>
              <w:pStyle w:val="NormalnyWeb"/>
              <w:numPr>
                <w:ilvl w:val="0"/>
                <w:numId w:val="13"/>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lastRenderedPageBreak/>
              <w:t>Test teoretyczny przeprowadzany jest przy użyciu aplikacji komputerowych, przebieg testu jest nadzorowany przez operatora systemu egzaminacyjnego odpowiedzialnego za organizację infrastruktury technicznej (przygotowanie formularza, dostęp do aplikacji, poufność danych itp.)</w:t>
            </w:r>
            <w:r w:rsidR="00DE65D2">
              <w:rPr>
                <w:rFonts w:asciiTheme="minorHAnsi" w:eastAsiaTheme="minorHAnsi" w:hAnsiTheme="minorHAnsi" w:cstheme="minorBidi"/>
                <w:sz w:val="22"/>
                <w:szCs w:val="22"/>
                <w:lang w:eastAsia="en-US"/>
              </w:rPr>
              <w:t>;</w:t>
            </w:r>
          </w:p>
          <w:p w14:paraId="746CE467" w14:textId="5B8F298F" w:rsidR="00CF191E" w:rsidRDefault="00CF191E" w:rsidP="00BC2D65">
            <w:pPr>
              <w:pStyle w:val="NormalnyWeb"/>
              <w:numPr>
                <w:ilvl w:val="0"/>
                <w:numId w:val="13"/>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 </w:t>
            </w:r>
          </w:p>
          <w:p w14:paraId="1710B926" w14:textId="399AC338" w:rsidR="00CF191E" w:rsidRPr="00DE65D2" w:rsidRDefault="00CF191E" w:rsidP="00BC2D65">
            <w:pPr>
              <w:pStyle w:val="NormalnyWeb"/>
              <w:numPr>
                <w:ilvl w:val="0"/>
                <w:numId w:val="13"/>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779BA8BD"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Wymagania wobec operatora systemu egzaminacyjnego:</w:t>
            </w:r>
          </w:p>
          <w:p w14:paraId="29A554DF" w14:textId="77777777" w:rsidR="00CF191E" w:rsidRPr="00CF191E" w:rsidRDefault="00CF191E" w:rsidP="00BC2D65">
            <w:pPr>
              <w:pStyle w:val="NormalnyWeb"/>
              <w:numPr>
                <w:ilvl w:val="0"/>
                <w:numId w:val="12"/>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wykształcenie minimum średnie, </w:t>
            </w:r>
          </w:p>
          <w:p w14:paraId="587C306F" w14:textId="77777777" w:rsidR="00DE65D2" w:rsidRDefault="00CF191E" w:rsidP="00BC2D65">
            <w:pPr>
              <w:pStyle w:val="NormalnyWeb"/>
              <w:numPr>
                <w:ilvl w:val="0"/>
                <w:numId w:val="12"/>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znajomość obsługi komputera w zakresie podstawowej obsługi systemu egzaminacyjnego i powiązanych z nim aplikacji (np. aplikacje umieszczone w „chmurze”),</w:t>
            </w:r>
          </w:p>
          <w:p w14:paraId="7BF90395" w14:textId="0BB922E4" w:rsidR="00CF191E" w:rsidRPr="00DE65D2" w:rsidRDefault="00CF191E" w:rsidP="00BC2D65">
            <w:pPr>
              <w:pStyle w:val="NormalnyWeb"/>
              <w:numPr>
                <w:ilvl w:val="0"/>
                <w:numId w:val="12"/>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umiejętność rozwiązywania problemów w sytuacji trudności z nawiązaniem lub zanikiem połączenia internetowego lub obsługą przeglądarki w zakresie kompatybilności z platformą egzaminacyjną.</w:t>
            </w:r>
          </w:p>
          <w:p w14:paraId="1B0B6ACF"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Wymagania formalne wobec członków komisji walidacyjnej: </w:t>
            </w:r>
          </w:p>
          <w:p w14:paraId="200D4E75" w14:textId="1DE7C7B9" w:rsidR="00CF191E" w:rsidRDefault="00CF191E" w:rsidP="00BC2D65">
            <w:pPr>
              <w:pStyle w:val="NormalnyWeb"/>
              <w:numPr>
                <w:ilvl w:val="0"/>
                <w:numId w:val="14"/>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Wykształcenie wyższe z zarządzania min. II stopnia (kwaliﬁkacja pełna z poziomem co najmniej VII PRK) lub studia z zarządzania w ochronie zdrowia (studia lub studia podyplomowe na poziomie minimum VI PRK). </w:t>
            </w:r>
          </w:p>
          <w:p w14:paraId="3987AE61" w14:textId="0C250097" w:rsidR="00CF191E" w:rsidRDefault="00CF191E" w:rsidP="00BC2D65">
            <w:pPr>
              <w:pStyle w:val="NormalnyWeb"/>
              <w:numPr>
                <w:ilvl w:val="0"/>
                <w:numId w:val="14"/>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Udokumentowaną zaświadczeniem lub certyfikatem kwaliﬁkację w zakresie Lean Management (kwalifikacja rynkowa lub studia podyplomowe na poziomie minimum VI PRK). </w:t>
            </w:r>
          </w:p>
          <w:p w14:paraId="25398AD8" w14:textId="6AB24B48" w:rsidR="00CF191E" w:rsidRDefault="00CF191E" w:rsidP="00BC2D65">
            <w:pPr>
              <w:pStyle w:val="NormalnyWeb"/>
              <w:numPr>
                <w:ilvl w:val="0"/>
                <w:numId w:val="14"/>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Udokumentowane, co najmniej 2-letnie doświadczenie (np. referencje, poświadczenia przeprowadzonych projektów, szkoleń itp. z okresu nie dłuższego niż 5 lat od terminu </w:t>
            </w:r>
            <w:r w:rsidRPr="00DE65D2">
              <w:rPr>
                <w:rFonts w:asciiTheme="minorHAnsi" w:eastAsiaTheme="minorHAnsi" w:hAnsiTheme="minorHAnsi" w:cstheme="minorBidi"/>
                <w:sz w:val="22"/>
                <w:szCs w:val="22"/>
                <w:lang w:eastAsia="en-US"/>
              </w:rPr>
              <w:lastRenderedPageBreak/>
              <w:t xml:space="preserve">prowadzenia walidacji) w zakresie szkoleń i wdrażania metodyki Lean Management w sektorze ochrony zdrowia. </w:t>
            </w:r>
          </w:p>
          <w:p w14:paraId="2B903E83" w14:textId="77777777" w:rsidR="00CF191E" w:rsidRPr="00DE65D2" w:rsidRDefault="00CF191E" w:rsidP="00BC2D65">
            <w:pPr>
              <w:pStyle w:val="NormalnyWeb"/>
              <w:numPr>
                <w:ilvl w:val="0"/>
                <w:numId w:val="14"/>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Udokumentowane (referencje, zaświadczenia) minimum dwa wdrożenia metodyki Lean Management w podmiotach sektora ochrony zdrowia. </w:t>
            </w:r>
          </w:p>
          <w:p w14:paraId="38BD5277"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Wymagania w zakresie sposobu prowadzenia walidacji:</w:t>
            </w:r>
          </w:p>
          <w:p w14:paraId="03CBB44D" w14:textId="74AC0FB1"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Oprócz elementów formalnych członkowie komisji walidacyjnej łącznie jak i każdy z osobna, przeprowadzając czynności walidacyjne zobowiązani są stosować następujące zasady: </w:t>
            </w:r>
          </w:p>
          <w:p w14:paraId="0C867C9F" w14:textId="77777777" w:rsidR="00DE65D2" w:rsidRDefault="00CF191E" w:rsidP="00BC2D65">
            <w:pPr>
              <w:pStyle w:val="NormalnyWeb"/>
              <w:numPr>
                <w:ilvl w:val="0"/>
                <w:numId w:val="15"/>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Zapobieganie konfliktowi interesów, które polega m.in. na rozdzieleniu funkcji kształcenia od funkcji walidacji. Członek komisji zaangażowany w przygotowanie osób starających się o ww. kwalifikacje nie może jednocześnie uczestniczyć w ocenie efektów tego przygotowania.</w:t>
            </w:r>
          </w:p>
          <w:p w14:paraId="372FC1F2" w14:textId="77777777" w:rsidR="00DE65D2" w:rsidRDefault="00CF191E" w:rsidP="00BC2D65">
            <w:pPr>
              <w:pStyle w:val="NormalnyWeb"/>
              <w:numPr>
                <w:ilvl w:val="0"/>
                <w:numId w:val="15"/>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Zapewnienie zgodności kryteriów oceny efektów uczenia się oraz oceny dokumentacji potwierdzającej efekty uczenia (obserwacje praktyczne, prezentacje itp.) z kryteriami właściwymi dla wskazanej kwalifikacji. </w:t>
            </w:r>
          </w:p>
          <w:p w14:paraId="7CD4A327" w14:textId="77777777" w:rsidR="00DE65D2" w:rsidRDefault="00CF191E" w:rsidP="00BC2D65">
            <w:pPr>
              <w:pStyle w:val="NormalnyWeb"/>
              <w:numPr>
                <w:ilvl w:val="0"/>
                <w:numId w:val="15"/>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Zapewnienie stosowania metod weryfikacji efektów uczenia się za adekwatnymi zasadami opisanymi w Zintegrowanym Systemie Kwalifikacji. </w:t>
            </w:r>
          </w:p>
          <w:p w14:paraId="47DC311D" w14:textId="7B07FF28" w:rsidR="00CF191E" w:rsidRPr="00DE65D2" w:rsidRDefault="00CF191E" w:rsidP="00BC2D65">
            <w:pPr>
              <w:pStyle w:val="NormalnyWeb"/>
              <w:numPr>
                <w:ilvl w:val="0"/>
                <w:numId w:val="15"/>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Zapewnienie przejrzystości procesu walidacji, w szczególności poprzez uzasadnienie swojej decyzji na żądanie kandydata, który otrzymał negatywną ocenę walidacyjną. </w:t>
            </w:r>
          </w:p>
          <w:p w14:paraId="2C3B3510" w14:textId="3D2D642B"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1.3. Wymogi w zakresie organizacji walidacji oraz warunków organizacyjnych i materialnych </w:t>
            </w:r>
          </w:p>
          <w:p w14:paraId="766F7C87"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1.3.1 Test teoretyczny przy użyciu aplikacji komputerowych </w:t>
            </w:r>
          </w:p>
          <w:p w14:paraId="3E7174DC" w14:textId="77777777" w:rsidR="00DE65D2" w:rsidRDefault="00CF191E" w:rsidP="00BC2D65">
            <w:pPr>
              <w:pStyle w:val="NormalnyWeb"/>
              <w:numPr>
                <w:ilvl w:val="0"/>
                <w:numId w:val="16"/>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w:t>
            </w:r>
          </w:p>
          <w:p w14:paraId="33D41B16" w14:textId="219CDEE9" w:rsidR="00CF191E" w:rsidRDefault="00CF191E" w:rsidP="00BC2D65">
            <w:pPr>
              <w:pStyle w:val="NormalnyWeb"/>
              <w:numPr>
                <w:ilvl w:val="0"/>
                <w:numId w:val="16"/>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t xml:space="preserve">Organizator powinien się upewnić, przed rozpoczęciem testu, że kandydat posiada odpowiedni sprzęt oraz oprogramowanie (min. przeglądarka komputerowa). </w:t>
            </w:r>
          </w:p>
          <w:p w14:paraId="4037ACA2" w14:textId="7CAE1375" w:rsidR="00CF191E" w:rsidRPr="00DE65D2" w:rsidRDefault="00CF191E" w:rsidP="00BC2D65">
            <w:pPr>
              <w:pStyle w:val="NormalnyWeb"/>
              <w:numPr>
                <w:ilvl w:val="0"/>
                <w:numId w:val="16"/>
              </w:numPr>
              <w:ind w:left="357" w:hanging="357"/>
              <w:jc w:val="both"/>
              <w:rPr>
                <w:rFonts w:asciiTheme="minorHAnsi" w:eastAsiaTheme="minorHAnsi" w:hAnsiTheme="minorHAnsi" w:cstheme="minorBidi"/>
                <w:sz w:val="22"/>
                <w:szCs w:val="22"/>
                <w:lang w:eastAsia="en-US"/>
              </w:rPr>
            </w:pPr>
            <w:r w:rsidRPr="00DE65D2">
              <w:rPr>
                <w:rFonts w:asciiTheme="minorHAnsi" w:eastAsiaTheme="minorHAnsi" w:hAnsiTheme="minorHAnsi" w:cstheme="minorBidi"/>
                <w:sz w:val="22"/>
                <w:szCs w:val="22"/>
                <w:lang w:eastAsia="en-US"/>
              </w:rPr>
              <w:lastRenderedPageBreak/>
              <w:t xml:space="preserve">W sytuacjach awaryjnych organizator może udostępnić własne urządzenie, z którego kandydat będzie mógł skorzystać w celu wypełnienia formularza. </w:t>
            </w:r>
          </w:p>
          <w:p w14:paraId="32E6A409" w14:textId="77777777" w:rsidR="00CF191E" w:rsidRPr="00CF191E" w:rsidRDefault="00CF191E" w:rsidP="00CF191E">
            <w:pPr>
              <w:pStyle w:val="NormalnyWeb"/>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1.3.2 Test teoretyczny przy wykorzystaniu formularzy papierowych (rozwiązanie awaryjne) </w:t>
            </w:r>
          </w:p>
          <w:p w14:paraId="76E9F66C" w14:textId="77777777" w:rsidR="0004505A" w:rsidRDefault="00CF191E" w:rsidP="00BC2D65">
            <w:pPr>
              <w:pStyle w:val="NormalnyWeb"/>
              <w:numPr>
                <w:ilvl w:val="0"/>
                <w:numId w:val="17"/>
              </w:numPr>
              <w:ind w:left="357" w:hanging="357"/>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Instytucja certyﬁkująca zobowiązana jest zapewnić arkusz testowy w formie papierowej wraz z przyborami do jego wypełnienia. </w:t>
            </w:r>
          </w:p>
          <w:p w14:paraId="252FEF4F" w14:textId="77777777" w:rsidR="0004505A" w:rsidRDefault="00CF191E" w:rsidP="00BC2D65">
            <w:pPr>
              <w:pStyle w:val="NormalnyWeb"/>
              <w:numPr>
                <w:ilvl w:val="0"/>
                <w:numId w:val="17"/>
              </w:numPr>
              <w:ind w:left="357" w:hanging="357"/>
              <w:jc w:val="both"/>
              <w:rPr>
                <w:rFonts w:asciiTheme="minorHAnsi" w:eastAsiaTheme="minorHAnsi" w:hAnsiTheme="minorHAnsi" w:cstheme="minorBidi"/>
                <w:sz w:val="22"/>
                <w:szCs w:val="22"/>
                <w:lang w:eastAsia="en-US"/>
              </w:rPr>
            </w:pPr>
            <w:r w:rsidRPr="0004505A">
              <w:rPr>
                <w:rFonts w:asciiTheme="minorHAnsi" w:eastAsiaTheme="minorHAnsi" w:hAnsiTheme="minorHAnsi" w:cstheme="minorBidi"/>
                <w:sz w:val="22"/>
                <w:szCs w:val="22"/>
                <w:lang w:eastAsia="en-US"/>
              </w:rPr>
              <w:t>Organizator powinien zapewnić odpowiednią infrastrukturę w postaci stolika, krzesła umożliwiającą wypełnienie i zebranie testów.</w:t>
            </w:r>
          </w:p>
          <w:p w14:paraId="07D7E45E" w14:textId="46903437" w:rsidR="00CF191E" w:rsidRPr="0004505A" w:rsidRDefault="00CF191E" w:rsidP="00BC2D65">
            <w:pPr>
              <w:pStyle w:val="NormalnyWeb"/>
              <w:numPr>
                <w:ilvl w:val="0"/>
                <w:numId w:val="17"/>
              </w:numPr>
              <w:ind w:left="357" w:hanging="357"/>
              <w:jc w:val="both"/>
              <w:rPr>
                <w:rFonts w:asciiTheme="minorHAnsi" w:eastAsiaTheme="minorHAnsi" w:hAnsiTheme="minorHAnsi" w:cstheme="minorBidi"/>
                <w:sz w:val="22"/>
                <w:szCs w:val="22"/>
                <w:lang w:eastAsia="en-US"/>
              </w:rPr>
            </w:pPr>
            <w:r w:rsidRPr="0004505A">
              <w:rPr>
                <w:rFonts w:asciiTheme="minorHAnsi" w:eastAsiaTheme="minorHAnsi" w:hAnsiTheme="minorHAnsi" w:cstheme="minorBidi"/>
                <w:sz w:val="22"/>
                <w:szCs w:val="22"/>
                <w:lang w:eastAsia="en-US"/>
              </w:rPr>
              <w:t>Organizator powinien zapewnić obsługę procesu oceny testów przez komisję walidacyjną.</w:t>
            </w:r>
          </w:p>
          <w:p w14:paraId="00609DB4"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3A69C8">
              <w:rPr>
                <w:rFonts w:ascii="Arial" w:hAnsi="Arial" w:cs="Arial"/>
                <w:sz w:val="20"/>
                <w:szCs w:val="20"/>
              </w:rPr>
              <w:t>1.</w:t>
            </w:r>
            <w:r w:rsidRPr="00CF191E">
              <w:rPr>
                <w:rFonts w:asciiTheme="minorHAnsi" w:eastAsiaTheme="minorHAnsi" w:hAnsiTheme="minorHAnsi" w:cstheme="minorBidi"/>
                <w:sz w:val="22"/>
                <w:szCs w:val="22"/>
                <w:lang w:eastAsia="en-US"/>
              </w:rPr>
              <w:t xml:space="preserve">3.3 Część praktyczna </w:t>
            </w:r>
          </w:p>
          <w:p w14:paraId="158EB4AC" w14:textId="77777777" w:rsidR="00CF191E" w:rsidRPr="00CF191E" w:rsidRDefault="00CF191E" w:rsidP="00BC2D65">
            <w:pPr>
              <w:pStyle w:val="NormalnyWeb"/>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Instytucja certyﬁkująca zobowiązana jest zapewnić dostęp kandydata oraz komisji egzaminacyjnej do pomieszczeń, w których prezentowane będą wdrożone usprawnienia (jeżeli występuje taka możliwość). </w:t>
            </w:r>
          </w:p>
          <w:p w14:paraId="1EB5D965" w14:textId="77777777" w:rsidR="00CF191E" w:rsidRPr="00CF191E" w:rsidRDefault="00CF191E" w:rsidP="00BC2D65">
            <w:pPr>
              <w:pStyle w:val="NormalnyWeb"/>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Organizator powinien zapewnić infrastrukturę techniczną do prezentacji wdrażanych usprawnień oraz prowadzenia dyskusji pomiędzy kandydatami i członkami komisji egzaminacyjnej oraz zadawania pytań przez zaproszonych gości, odpowiednio: </w:t>
            </w:r>
          </w:p>
          <w:p w14:paraId="4161AE4C" w14:textId="77777777" w:rsidR="00CF191E" w:rsidRPr="00CF191E" w:rsidRDefault="00CF191E" w:rsidP="00BC2D65">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 przypadku sesji on-line - poprzez udostępnienie pomieszczeń wirtualnych w trybie konferencyjnym (możliwość komunikacji, prezentacji materiałów, filmów), </w:t>
            </w:r>
          </w:p>
          <w:p w14:paraId="5B6864E9" w14:textId="77777777" w:rsidR="00CF191E" w:rsidRPr="00CF191E" w:rsidRDefault="00CF191E" w:rsidP="00BC2D65">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w przypadku spotkań bezpośrednich – odpowiednie pomieszczenie wraz z infrastrukturą (komputer, rzutnik, flipchart z arkuszami papieru, pisaki, kartki post-it itp., nagłośnienie, jeżeli jest wymagane), </w:t>
            </w:r>
          </w:p>
          <w:p w14:paraId="4EF42D8A" w14:textId="77777777" w:rsidR="00CF191E" w:rsidRPr="00CF191E" w:rsidRDefault="00CF191E" w:rsidP="00BC2D65">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w przypadku spotkań „mieszanych” zarówno infrastrukturę do spotkań on-line jak i odpowiednie pomieszczenie z wyposażeniem.</w:t>
            </w:r>
          </w:p>
          <w:p w14:paraId="3DE75B89" w14:textId="118ED552" w:rsidR="004E1564" w:rsidRPr="009F1018" w:rsidRDefault="004E1564" w:rsidP="00CF191E">
            <w:pPr>
              <w:pStyle w:val="Akapitzlist"/>
              <w:spacing w:after="120"/>
              <w:ind w:left="1027"/>
              <w:jc w:val="both"/>
            </w:pP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AD350D">
        <w:tc>
          <w:tcPr>
            <w:tcW w:w="201"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43"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1FE1121C" w:rsidR="00C21CEE" w:rsidRDefault="00C21CEE" w:rsidP="002812FE">
            <w:pPr>
              <w:spacing w:before="120" w:after="120"/>
              <w:jc w:val="both"/>
              <w:rPr>
                <w:rFonts w:eastAsia="Lato"/>
                <w:b/>
              </w:rPr>
            </w:pPr>
            <w:r w:rsidRPr="00893F30">
              <w:rPr>
                <w:rFonts w:eastAsia="Lato"/>
                <w:b/>
              </w:rPr>
              <w:t>Syntetyczna charakterystyka efektów uczenia się</w:t>
            </w:r>
          </w:p>
          <w:p w14:paraId="16C5D140" w14:textId="77777777" w:rsidR="00CF191E" w:rsidRPr="00CF191E" w:rsidRDefault="00CF191E" w:rsidP="00CF191E">
            <w:pPr>
              <w:pStyle w:val="NormalnyWeb"/>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Osoba posiadająca kwalifikację „Zarządzanie procesami i zespołami sektora ochrony zdrowia z wykorzystaniem metodyki LEAN MANAGEMENT – Poziom LEAN EKSPERT”:</w:t>
            </w:r>
          </w:p>
          <w:p w14:paraId="3DF9387A" w14:textId="77777777" w:rsidR="00CF191E" w:rsidRPr="00CF191E" w:rsidRDefault="00CF191E" w:rsidP="00BC2D65">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lastRenderedPageBreak/>
              <w:t xml:space="preserve">Opisuje procesy w schemacie SIPOC. </w:t>
            </w:r>
          </w:p>
          <w:p w14:paraId="1CF86AF4" w14:textId="77777777" w:rsidR="00CF191E" w:rsidRPr="00CF191E" w:rsidRDefault="00CF191E" w:rsidP="00BC2D65">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Sporządza mapy procesu w notacji BPMN lub podobnej, wskazując jednocześnie miejsca występowania marnotrawstw i problemów na mapie. </w:t>
            </w:r>
          </w:p>
          <w:p w14:paraId="012BC2D3" w14:textId="77777777" w:rsidR="00CF191E" w:rsidRPr="00CF191E" w:rsidRDefault="00CF191E" w:rsidP="00BC2D65">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Dokonuje pomiaru podstawowych parametrów procesu (czas, jakoś, efektywność).</w:t>
            </w:r>
          </w:p>
          <w:p w14:paraId="06DDC444" w14:textId="77777777" w:rsidR="00CF191E" w:rsidRPr="00CF191E" w:rsidRDefault="00CF191E" w:rsidP="00BC2D65">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Sporządza mapę strumienia wartości procesu dostosowaną do specyfiki sektora ochrony zdrowia i analizuje dane zawarte w tej mapie w celu określenia obszarów potencjalnych usprawnień oraz określenia sposobów pomiarów efektów usprawnień.</w:t>
            </w:r>
          </w:p>
          <w:p w14:paraId="04BF0D3F" w14:textId="77777777" w:rsidR="00CF191E" w:rsidRPr="00CF191E" w:rsidRDefault="00CF191E" w:rsidP="00BC2D65">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CF191E">
              <w:rPr>
                <w:rFonts w:asciiTheme="minorHAnsi" w:eastAsiaTheme="minorHAnsi" w:hAnsiTheme="minorHAnsi" w:cstheme="minorBidi"/>
                <w:sz w:val="22"/>
                <w:szCs w:val="22"/>
                <w:lang w:eastAsia="en-US"/>
              </w:rPr>
              <w:t xml:space="preserve">Prowadzi cykliczne spotkania usprawnień procesów oraz monitoruje i prezentuje efekty wdrażanych usprawnień. </w:t>
            </w:r>
          </w:p>
          <w:p w14:paraId="306BCCC4" w14:textId="77777777" w:rsidR="00CF191E" w:rsidRPr="003A69C8" w:rsidRDefault="00CF191E" w:rsidP="00CF191E">
            <w:pPr>
              <w:pStyle w:val="NormalnyWeb"/>
              <w:spacing w:before="0" w:beforeAutospacing="0" w:after="0" w:afterAutospacing="0"/>
              <w:ind w:left="780"/>
              <w:jc w:val="both"/>
              <w:rPr>
                <w:rFonts w:ascii="Arial" w:hAnsi="Arial" w:cs="Arial"/>
                <w:sz w:val="20"/>
                <w:szCs w:val="20"/>
              </w:rPr>
            </w:pPr>
          </w:p>
          <w:p w14:paraId="6721C30F" w14:textId="072A61A6" w:rsidR="004E1564"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4672F2C7" w14:textId="77777777" w:rsidR="00D5565D" w:rsidRPr="00D5565D" w:rsidRDefault="00D5565D" w:rsidP="00DE65D2">
            <w:pPr>
              <w:spacing w:line="240" w:lineRule="auto"/>
            </w:pPr>
            <w:r w:rsidRPr="00D5565D">
              <w:t>Budowanie zaawansowanych map procesu (5 PRK, 24h)</w:t>
            </w:r>
          </w:p>
          <w:p w14:paraId="42D894EF" w14:textId="77777777" w:rsidR="00D5565D" w:rsidRPr="00D5565D" w:rsidRDefault="00D5565D" w:rsidP="00DE65D2">
            <w:pPr>
              <w:spacing w:line="240" w:lineRule="auto"/>
            </w:pPr>
            <w:r w:rsidRPr="00D5565D">
              <w:t>Stosowanie podstawowych narzędzi pomiaru procesu (5 PRK, 24h)</w:t>
            </w:r>
          </w:p>
          <w:p w14:paraId="09D66A19" w14:textId="77777777" w:rsidR="00D5565D" w:rsidRPr="00D5565D" w:rsidRDefault="00D5565D" w:rsidP="00DE65D2">
            <w:pPr>
              <w:spacing w:line="240" w:lineRule="auto"/>
            </w:pPr>
            <w:r w:rsidRPr="00D5565D">
              <w:t>Wykorzystanie Mapy Strumienia Wartości do usprawniania procesu (5 PRK, 24h)</w:t>
            </w:r>
          </w:p>
          <w:p w14:paraId="719650C7" w14:textId="74D7D2FA" w:rsidR="00ED407C" w:rsidRPr="00D5565D" w:rsidRDefault="00D5565D" w:rsidP="00DE65D2">
            <w:pPr>
              <w:spacing w:line="240" w:lineRule="auto"/>
            </w:pPr>
            <w:r w:rsidRPr="00D5565D">
              <w:t>Stosowanie zasad ciągłego doskonalenia (5 PRK, 24h)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2CD7A04B" w:rsidR="004E1564" w:rsidRPr="00124940" w:rsidRDefault="00A60AB7" w:rsidP="000F321D">
                  <w:pPr>
                    <w:pStyle w:val="Akapitzlist"/>
                    <w:numPr>
                      <w:ilvl w:val="0"/>
                      <w:numId w:val="1"/>
                    </w:numPr>
                    <w:spacing w:after="0"/>
                    <w:ind w:left="458"/>
                    <w:rPr>
                      <w:rFonts w:ascii="Arial" w:hAnsi="Arial" w:cs="Arial"/>
                      <w:b/>
                    </w:rPr>
                  </w:pPr>
                  <w:r w:rsidRPr="00A60AB7">
                    <w:rPr>
                      <w:rFonts w:ascii="Arial" w:hAnsi="Arial" w:cs="Arial"/>
                      <w:b/>
                    </w:rPr>
                    <w:t>Budowanie zaawansowanych map procesu</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5AC4780B" w:rsidR="004E1564" w:rsidRPr="00124940" w:rsidRDefault="00A60AB7" w:rsidP="00124940">
                  <w:r w:rsidRPr="00A60AB7">
                    <w:t>1.1 Posługuje się narzędziem SIPOC do opisu najważniejszych elementów procesu</w:t>
                  </w:r>
                </w:p>
              </w:tc>
              <w:tc>
                <w:tcPr>
                  <w:tcW w:w="7366" w:type="dxa"/>
                  <w:tcBorders>
                    <w:bottom w:val="single" w:sz="4" w:space="0" w:color="000000"/>
                  </w:tcBorders>
                </w:tcPr>
                <w:p w14:paraId="45BD3994" w14:textId="30B20C0C" w:rsidR="00A60AB7" w:rsidRDefault="00A60AB7" w:rsidP="00A60AB7">
                  <w:pPr>
                    <w:spacing w:after="120"/>
                  </w:pPr>
                  <w:r w:rsidRPr="00A60AB7">
                    <w:t xml:space="preserve">a) </w:t>
                  </w:r>
                  <w:r w:rsidR="00D5565D">
                    <w:t>T</w:t>
                  </w:r>
                  <w:r w:rsidRPr="00A60AB7">
                    <w:t xml:space="preserve">łumaczy akronim SIPOC i podaje definicje poszczególnych elementów (dostawcy, wkład, proces, produkt, odbiorcy), </w:t>
                  </w:r>
                </w:p>
                <w:p w14:paraId="693BCD1E" w14:textId="3D3F60E2" w:rsidR="004E1564" w:rsidRPr="00124940" w:rsidRDefault="00A60AB7" w:rsidP="00A60AB7">
                  <w:pPr>
                    <w:spacing w:after="120"/>
                  </w:pPr>
                  <w:r w:rsidRPr="00A60AB7">
                    <w:t xml:space="preserve">b) </w:t>
                  </w:r>
                  <w:r w:rsidR="00D5565D">
                    <w:t>P</w:t>
                  </w:r>
                  <w:r w:rsidRPr="00A60AB7">
                    <w:t>rzygotowuje opis procesu w strukturze narzędzia SIPOC.</w:t>
                  </w:r>
                </w:p>
              </w:tc>
            </w:tr>
            <w:tr w:rsidR="004E1564" w:rsidRPr="00A42ED6" w14:paraId="73ED74EA" w14:textId="77777777" w:rsidTr="00C55D41">
              <w:tc>
                <w:tcPr>
                  <w:tcW w:w="1920" w:type="dxa"/>
                  <w:tcBorders>
                    <w:bottom w:val="single" w:sz="4" w:space="0" w:color="000000"/>
                  </w:tcBorders>
                </w:tcPr>
                <w:p w14:paraId="4053E8FC" w14:textId="34C26F15" w:rsidR="004E1564" w:rsidRPr="00124940" w:rsidRDefault="00A60AB7" w:rsidP="00124940">
                  <w:r w:rsidRPr="00A60AB7">
                    <w:t xml:space="preserve">1.2 Opisuje szczegółowo proces i jego poszczególne </w:t>
                  </w:r>
                  <w:r w:rsidRPr="00A60AB7">
                    <w:lastRenderedPageBreak/>
                    <w:t>kroki do poziomu czynności w procesie</w:t>
                  </w:r>
                </w:p>
              </w:tc>
              <w:tc>
                <w:tcPr>
                  <w:tcW w:w="7366" w:type="dxa"/>
                  <w:tcBorders>
                    <w:bottom w:val="single" w:sz="4" w:space="0" w:color="000000"/>
                  </w:tcBorders>
                </w:tcPr>
                <w:p w14:paraId="44E84B8B" w14:textId="6A12B470" w:rsidR="00A60AB7" w:rsidRDefault="00A60AB7" w:rsidP="00A60AB7">
                  <w:pPr>
                    <w:spacing w:after="120"/>
                  </w:pPr>
                  <w:r w:rsidRPr="00A60AB7">
                    <w:lastRenderedPageBreak/>
                    <w:t xml:space="preserve">a) </w:t>
                  </w:r>
                  <w:r w:rsidR="00D5565D">
                    <w:t>R</w:t>
                  </w:r>
                  <w:r w:rsidRPr="00A60AB7">
                    <w:t xml:space="preserve">ysuje mapę procesu przy wykorzystaniu narzędzia FLOW CHART (SWIM LINE) w notacji BPMN lub podobnej, </w:t>
                  </w:r>
                </w:p>
                <w:p w14:paraId="364443E5" w14:textId="413EBB4A" w:rsidR="004E1564" w:rsidRPr="00124940" w:rsidRDefault="00A60AB7" w:rsidP="00A60AB7">
                  <w:pPr>
                    <w:spacing w:after="120"/>
                  </w:pPr>
                  <w:r w:rsidRPr="00A60AB7">
                    <w:lastRenderedPageBreak/>
                    <w:t xml:space="preserve">b) </w:t>
                  </w:r>
                  <w:r w:rsidR="00D5565D">
                    <w:t>D</w:t>
                  </w:r>
                  <w:r w:rsidRPr="00A60AB7">
                    <w:t>iagnozuje problemy w procesie oraz wskazuje je na szczegółowej mapie procesu.</w:t>
                  </w:r>
                </w:p>
              </w:tc>
            </w:tr>
            <w:tr w:rsidR="004E1564" w:rsidRPr="00A42ED6" w14:paraId="72D71237" w14:textId="77777777" w:rsidTr="004246E4">
              <w:tc>
                <w:tcPr>
                  <w:tcW w:w="1920" w:type="dxa"/>
                  <w:tcBorders>
                    <w:bottom w:val="single" w:sz="4" w:space="0" w:color="000000"/>
                  </w:tcBorders>
                  <w:shd w:val="clear" w:color="auto" w:fill="F2F2F2"/>
                </w:tcPr>
                <w:p w14:paraId="77AB3535" w14:textId="095DBD98"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7E252A5C" w14:textId="27E129A4" w:rsidR="004E1564" w:rsidRPr="002F4DEB" w:rsidRDefault="00A60AB7" w:rsidP="00B16E48">
                  <w:pPr>
                    <w:pStyle w:val="Akapitzlist"/>
                    <w:numPr>
                      <w:ilvl w:val="0"/>
                      <w:numId w:val="1"/>
                    </w:numPr>
                    <w:spacing w:after="0"/>
                    <w:ind w:left="458"/>
                    <w:contextualSpacing w:val="0"/>
                    <w:rPr>
                      <w:b/>
                    </w:rPr>
                  </w:pPr>
                  <w:r w:rsidRPr="00A60AB7">
                    <w:rPr>
                      <w:b/>
                    </w:rPr>
                    <w:t>Stosowanie podstawowych narzędzi pomiaru procesu</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5DFD59C4" w:rsidR="004E1564" w:rsidRPr="002F4DEB" w:rsidRDefault="00A60AB7" w:rsidP="002F4DEB">
                  <w:r w:rsidRPr="00A60AB7">
                    <w:t>2.1 Mierzy czasy cyklu w procesie</w:t>
                  </w:r>
                </w:p>
              </w:tc>
              <w:tc>
                <w:tcPr>
                  <w:tcW w:w="7366" w:type="dxa"/>
                  <w:tcBorders>
                    <w:bottom w:val="single" w:sz="4" w:space="0" w:color="000000"/>
                  </w:tcBorders>
                </w:tcPr>
                <w:p w14:paraId="69A5F976" w14:textId="0F20F583" w:rsidR="00A60AB7" w:rsidRDefault="00A60AB7" w:rsidP="00A60AB7">
                  <w:pPr>
                    <w:spacing w:after="120"/>
                  </w:pPr>
                  <w:r w:rsidRPr="00A60AB7">
                    <w:t xml:space="preserve">a) </w:t>
                  </w:r>
                  <w:r w:rsidR="00D5565D">
                    <w:t>P</w:t>
                  </w:r>
                  <w:r w:rsidRPr="00A60AB7">
                    <w:t xml:space="preserve">odaje definicję czasu cyklu w procesie, </w:t>
                  </w:r>
                </w:p>
                <w:p w14:paraId="0FAD642D" w14:textId="6C8D63AA" w:rsidR="004E1564" w:rsidRPr="002F4DEB" w:rsidRDefault="00A60AB7" w:rsidP="00A60AB7">
                  <w:pPr>
                    <w:spacing w:after="120"/>
                  </w:pPr>
                  <w:r w:rsidRPr="00A60AB7">
                    <w:t xml:space="preserve">b) </w:t>
                  </w:r>
                  <w:r w:rsidR="00D5565D">
                    <w:t>S</w:t>
                  </w:r>
                  <w:r w:rsidRPr="00A60AB7">
                    <w:t>tosuje narzędzia pomiaru procesu - czas cyklu.</w:t>
                  </w:r>
                </w:p>
              </w:tc>
            </w:tr>
            <w:tr w:rsidR="004E1564" w:rsidRPr="00A42ED6" w14:paraId="10C36565" w14:textId="77777777" w:rsidTr="00C55D41">
              <w:tc>
                <w:tcPr>
                  <w:tcW w:w="1920" w:type="dxa"/>
                  <w:tcBorders>
                    <w:bottom w:val="single" w:sz="4" w:space="0" w:color="000000"/>
                  </w:tcBorders>
                </w:tcPr>
                <w:p w14:paraId="404AD4B9" w14:textId="2FC583DC" w:rsidR="004E1564" w:rsidRPr="002F4DEB" w:rsidRDefault="00A60AB7" w:rsidP="002F4DEB">
                  <w:r w:rsidRPr="00A60AB7">
                    <w:t>2.2. Dokonuje pomiarów wielowymiarowych w procesie</w:t>
                  </w:r>
                </w:p>
              </w:tc>
              <w:tc>
                <w:tcPr>
                  <w:tcW w:w="7366" w:type="dxa"/>
                  <w:tcBorders>
                    <w:bottom w:val="single" w:sz="4" w:space="0" w:color="000000"/>
                  </w:tcBorders>
                </w:tcPr>
                <w:p w14:paraId="17491880" w14:textId="4DF569F5" w:rsidR="00A60AB7" w:rsidRDefault="00A60AB7" w:rsidP="00A60AB7">
                  <w:pPr>
                    <w:spacing w:after="120"/>
                  </w:pPr>
                  <w:r w:rsidRPr="00A60AB7">
                    <w:t xml:space="preserve">a) </w:t>
                  </w:r>
                  <w:r w:rsidR="00D5565D">
                    <w:t>P</w:t>
                  </w:r>
                  <w:r w:rsidRPr="00A60AB7">
                    <w:t xml:space="preserve">odaje zasady pomiaru wielowymiarowego w procesie oraz cel pomiaru, </w:t>
                  </w:r>
                </w:p>
                <w:p w14:paraId="1D459074" w14:textId="154F73C9" w:rsidR="004E1564" w:rsidRPr="002F4DEB" w:rsidRDefault="00A60AB7" w:rsidP="00A60AB7">
                  <w:pPr>
                    <w:spacing w:after="120"/>
                  </w:pPr>
                  <w:r w:rsidRPr="00A60AB7">
                    <w:t xml:space="preserve">b) </w:t>
                  </w:r>
                  <w:r w:rsidR="00D5565D">
                    <w:t>S</w:t>
                  </w:r>
                  <w:r w:rsidRPr="00A60AB7">
                    <w:t>tosuje narzędzia pomiaru procesu - pomiar wielowymiarowy.</w:t>
                  </w:r>
                </w:p>
              </w:tc>
            </w:tr>
            <w:tr w:rsidR="0060026D" w:rsidRPr="00A42ED6" w14:paraId="4812593F" w14:textId="77777777" w:rsidTr="00C55D41">
              <w:tc>
                <w:tcPr>
                  <w:tcW w:w="1920" w:type="dxa"/>
                  <w:tcBorders>
                    <w:bottom w:val="single" w:sz="4" w:space="0" w:color="000000"/>
                  </w:tcBorders>
                </w:tcPr>
                <w:p w14:paraId="527AD730" w14:textId="795FD6A5" w:rsidR="0060026D" w:rsidRPr="0060026D" w:rsidRDefault="00A60AB7" w:rsidP="002F4DEB">
                  <w:r w:rsidRPr="00A60AB7">
                    <w:t>2.3 Dokonuje pomiary pracy standardowej</w:t>
                  </w:r>
                </w:p>
              </w:tc>
              <w:tc>
                <w:tcPr>
                  <w:tcW w:w="7366" w:type="dxa"/>
                  <w:tcBorders>
                    <w:bottom w:val="single" w:sz="4" w:space="0" w:color="000000"/>
                  </w:tcBorders>
                </w:tcPr>
                <w:p w14:paraId="647ADCFC" w14:textId="089AA6DA" w:rsidR="00A60AB7" w:rsidRDefault="00A60AB7" w:rsidP="00A60AB7">
                  <w:pPr>
                    <w:spacing w:after="120"/>
                  </w:pPr>
                  <w:r w:rsidRPr="00A60AB7">
                    <w:t xml:space="preserve">a) </w:t>
                  </w:r>
                  <w:r w:rsidR="00D5565D">
                    <w:t>O</w:t>
                  </w:r>
                  <w:r w:rsidRPr="00A60AB7">
                    <w:t xml:space="preserve">pisuje narzędzia SWS (Standard Work Sheet) i SWCS (Standard Work Combination Sheet) do pomiaru pracy standardowej oraz cel ich stosowania, </w:t>
                  </w:r>
                </w:p>
                <w:p w14:paraId="4D9E2C32" w14:textId="7D6241BB" w:rsidR="0060026D" w:rsidRPr="0060026D" w:rsidRDefault="00A60AB7" w:rsidP="00A60AB7">
                  <w:pPr>
                    <w:spacing w:after="120"/>
                  </w:pPr>
                  <w:r>
                    <w:t>b</w:t>
                  </w:r>
                  <w:r w:rsidRPr="00A60AB7">
                    <w:t xml:space="preserve">) </w:t>
                  </w:r>
                  <w:r w:rsidR="00D5565D">
                    <w:t>S</w:t>
                  </w:r>
                  <w:r w:rsidRPr="00A60AB7">
                    <w:t>tosuje narzędzia SWS i SWCS do pomiaru procesu oraz dokonuje analizy procesu na podstawie tych narzędzi.</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33679785"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3084D90E" w:rsidR="004E1564" w:rsidRPr="00A33E48" w:rsidRDefault="00A60AB7" w:rsidP="00B16E48">
                  <w:pPr>
                    <w:pStyle w:val="Akapitzlist"/>
                    <w:numPr>
                      <w:ilvl w:val="0"/>
                      <w:numId w:val="1"/>
                    </w:numPr>
                    <w:spacing w:after="0"/>
                    <w:ind w:left="458"/>
                    <w:contextualSpacing w:val="0"/>
                    <w:rPr>
                      <w:b/>
                    </w:rPr>
                  </w:pPr>
                  <w:r w:rsidRPr="00A60AB7">
                    <w:rPr>
                      <w:b/>
                    </w:rPr>
                    <w:t>Wykorzystanie Mapy Strumienia Wartości do usprawniania procesu</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4FDF6DF5" w:rsidR="004E1564" w:rsidRPr="00A33E48" w:rsidRDefault="00A60AB7" w:rsidP="00A33E48">
                  <w:r w:rsidRPr="00A60AB7">
                    <w:t>3.1 Opisuje zasady opisu procesu przy wykorzystaniu narzędzia Mapa Strumienia Wartości</w:t>
                  </w:r>
                </w:p>
              </w:tc>
              <w:tc>
                <w:tcPr>
                  <w:tcW w:w="7366" w:type="dxa"/>
                  <w:tcBorders>
                    <w:bottom w:val="single" w:sz="4" w:space="0" w:color="000000"/>
                  </w:tcBorders>
                </w:tcPr>
                <w:p w14:paraId="216B9BA0" w14:textId="1AE374D9" w:rsidR="00A60AB7" w:rsidRDefault="00A60AB7" w:rsidP="00A60AB7">
                  <w:pPr>
                    <w:spacing w:after="120"/>
                  </w:pPr>
                  <w:r w:rsidRPr="00A60AB7">
                    <w:t xml:space="preserve">a) </w:t>
                  </w:r>
                  <w:r w:rsidR="00051284">
                    <w:t>O</w:t>
                  </w:r>
                  <w:r w:rsidRPr="00A60AB7">
                    <w:t xml:space="preserve">kreśla elementy składowe mapy strumienia wartości i cel stosowania Mapy Strumienia Wartości, </w:t>
                  </w:r>
                </w:p>
                <w:p w14:paraId="7D1AF286" w14:textId="4A2393D0" w:rsidR="004E1564" w:rsidRPr="00A33E48" w:rsidRDefault="00A60AB7" w:rsidP="00A60AB7">
                  <w:pPr>
                    <w:spacing w:after="120"/>
                  </w:pPr>
                  <w:r w:rsidRPr="00A60AB7">
                    <w:t xml:space="preserve">b) </w:t>
                  </w:r>
                  <w:r w:rsidR="00051284">
                    <w:t>O</w:t>
                  </w:r>
                  <w:r w:rsidRPr="00A60AB7">
                    <w:t>pisuje proces budowania Mapy Strumienia Wartości.</w:t>
                  </w:r>
                </w:p>
              </w:tc>
            </w:tr>
            <w:tr w:rsidR="004E1564" w:rsidRPr="00A42ED6" w14:paraId="4BE46DD0" w14:textId="77777777" w:rsidTr="00EC5E78">
              <w:tc>
                <w:tcPr>
                  <w:tcW w:w="1920" w:type="dxa"/>
                </w:tcPr>
                <w:p w14:paraId="0A4249C5" w14:textId="16B54D28" w:rsidR="004E1564" w:rsidRPr="00CF6A61" w:rsidRDefault="00A60AB7" w:rsidP="00A33E48">
                  <w:pPr>
                    <w:rPr>
                      <w:rFonts w:ascii="Arial" w:eastAsia="Times New Roman" w:hAnsi="Arial" w:cs="Arial"/>
                    </w:rPr>
                  </w:pPr>
                  <w:r w:rsidRPr="00A60AB7">
                    <w:lastRenderedPageBreak/>
                    <w:t xml:space="preserve">3.2 </w:t>
                  </w:r>
                  <w:r w:rsidR="00CF6A61" w:rsidRPr="00042967">
                    <w:rPr>
                      <w:rFonts w:ascii="Arial" w:eastAsia="Times New Roman" w:hAnsi="Arial" w:cs="Arial"/>
                    </w:rPr>
                    <w:t>Opisuje i usprawnia procesy w sektorze o</w:t>
                  </w:r>
                  <w:r w:rsidR="00CF6A61">
                    <w:rPr>
                      <w:rFonts w:ascii="Arial" w:eastAsia="Times New Roman" w:hAnsi="Arial" w:cs="Arial"/>
                    </w:rPr>
                    <w:t xml:space="preserve">chrony zdrowia </w:t>
                  </w:r>
                  <w:r w:rsidR="00CF6A61" w:rsidRPr="00042967">
                    <w:rPr>
                      <w:rFonts w:ascii="Arial" w:eastAsia="Times New Roman" w:hAnsi="Arial" w:cs="Arial"/>
                    </w:rPr>
                    <w:t>przy pomocy Mapy Strumienia Wartości</w:t>
                  </w:r>
                </w:p>
              </w:tc>
              <w:tc>
                <w:tcPr>
                  <w:tcW w:w="7366" w:type="dxa"/>
                </w:tcPr>
                <w:p w14:paraId="333F2CE3" w14:textId="3D24E372" w:rsidR="00A60AB7" w:rsidRDefault="00A60AB7" w:rsidP="00A60AB7">
                  <w:pPr>
                    <w:spacing w:after="120"/>
                  </w:pPr>
                  <w:r w:rsidRPr="00A60AB7">
                    <w:t xml:space="preserve">a) </w:t>
                  </w:r>
                  <w:r w:rsidR="00CF6A61">
                    <w:t>R</w:t>
                  </w:r>
                  <w:r w:rsidRPr="00A60AB7">
                    <w:t>ysuje mapę strumienia wartości wykorzystując elementy istotne dla procesów w sektorze o</w:t>
                  </w:r>
                  <w:r w:rsidR="00CF6A61">
                    <w:t>chrony zdrowia</w:t>
                  </w:r>
                  <w:r w:rsidRPr="00A60AB7">
                    <w:t xml:space="preserve">, </w:t>
                  </w:r>
                </w:p>
                <w:p w14:paraId="1FF5A461" w14:textId="01177C20" w:rsidR="00A60AB7" w:rsidRDefault="00A60AB7" w:rsidP="00A60AB7">
                  <w:pPr>
                    <w:spacing w:after="120"/>
                  </w:pPr>
                  <w:r w:rsidRPr="00A60AB7">
                    <w:t xml:space="preserve">b) </w:t>
                  </w:r>
                  <w:r w:rsidR="00CF6A61">
                    <w:t>A</w:t>
                  </w:r>
                  <w:r w:rsidRPr="00A60AB7">
                    <w:t xml:space="preserve">nalizuje proces na podstawie danych zawartych w mapie strumienia wartości w celu określenia obszarów potencjalnych usprawnień, </w:t>
                  </w:r>
                </w:p>
                <w:p w14:paraId="763E3782" w14:textId="3F61D4B2" w:rsidR="004E1564" w:rsidRPr="00A33E48" w:rsidRDefault="00A60AB7" w:rsidP="00A60AB7">
                  <w:pPr>
                    <w:spacing w:after="120"/>
                  </w:pPr>
                  <w:r w:rsidRPr="00A60AB7">
                    <w:t xml:space="preserve">c) </w:t>
                  </w:r>
                  <w:r w:rsidR="00CF6A61">
                    <w:t>W</w:t>
                  </w:r>
                  <w:r w:rsidRPr="00A60AB7">
                    <w:t>ykorzystując mapę strumienia wartości wskazuje obszary usprawnień procesu oraz opisuje sposoby pomiarów efektów wdrożeń usprawnień.</w:t>
                  </w:r>
                </w:p>
              </w:tc>
            </w:tr>
            <w:tr w:rsidR="00A60AB7" w:rsidRPr="00A42ED6" w14:paraId="70FE0018" w14:textId="77777777" w:rsidTr="00A60AB7">
              <w:tc>
                <w:tcPr>
                  <w:tcW w:w="1920" w:type="dxa"/>
                  <w:shd w:val="clear" w:color="auto" w:fill="F2F2F2" w:themeFill="background1" w:themeFillShade="F2"/>
                </w:tcPr>
                <w:p w14:paraId="7C9A465F" w14:textId="5AE1509E" w:rsidR="00A60AB7" w:rsidRPr="00A60AB7" w:rsidRDefault="00A60AB7" w:rsidP="00A60AB7">
                  <w:r w:rsidRPr="00A33E48">
                    <w:rPr>
                      <w:rFonts w:eastAsia="Calibri" w:cstheme="minorHAnsi"/>
                      <w:b/>
                    </w:rPr>
                    <w:t>Zestaw efektów uczenia się:</w:t>
                  </w:r>
                </w:p>
              </w:tc>
              <w:tc>
                <w:tcPr>
                  <w:tcW w:w="7366" w:type="dxa"/>
                  <w:shd w:val="clear" w:color="auto" w:fill="F2F2F2" w:themeFill="background1" w:themeFillShade="F2"/>
                  <w:vAlign w:val="center"/>
                </w:tcPr>
                <w:p w14:paraId="458A9835" w14:textId="10F42957" w:rsidR="00A60AB7" w:rsidRPr="00A60AB7" w:rsidRDefault="00A60AB7" w:rsidP="00A60AB7">
                  <w:pPr>
                    <w:pStyle w:val="Akapitzlist"/>
                    <w:numPr>
                      <w:ilvl w:val="0"/>
                      <w:numId w:val="1"/>
                    </w:numPr>
                    <w:spacing w:after="120"/>
                    <w:ind w:left="405"/>
                    <w:rPr>
                      <w:b/>
                    </w:rPr>
                  </w:pPr>
                  <w:r w:rsidRPr="00A60AB7">
                    <w:rPr>
                      <w:b/>
                    </w:rPr>
                    <w:t>Stosowanie zasad ciągłego doskonalenia</w:t>
                  </w:r>
                </w:p>
              </w:tc>
            </w:tr>
            <w:tr w:rsidR="00A60AB7" w:rsidRPr="00A42ED6" w14:paraId="266F42B4" w14:textId="77777777" w:rsidTr="00A60AB7">
              <w:tc>
                <w:tcPr>
                  <w:tcW w:w="1920" w:type="dxa"/>
                  <w:shd w:val="clear" w:color="auto" w:fill="F2F2F2" w:themeFill="background1" w:themeFillShade="F2"/>
                </w:tcPr>
                <w:p w14:paraId="5B568690" w14:textId="48429AFA" w:rsidR="00A60AB7" w:rsidRPr="00A60AB7" w:rsidRDefault="00A60AB7" w:rsidP="00A60AB7">
                  <w:r w:rsidRPr="00A33E48">
                    <w:rPr>
                      <w:rFonts w:eastAsia="Calibri" w:cstheme="minorHAnsi"/>
                      <w:b/>
                    </w:rPr>
                    <w:t>Umiejętności</w:t>
                  </w:r>
                </w:p>
              </w:tc>
              <w:tc>
                <w:tcPr>
                  <w:tcW w:w="7366" w:type="dxa"/>
                  <w:shd w:val="clear" w:color="auto" w:fill="F2F2F2" w:themeFill="background1" w:themeFillShade="F2"/>
                </w:tcPr>
                <w:p w14:paraId="2175273E" w14:textId="3E403C4A" w:rsidR="00A60AB7" w:rsidRPr="00A60AB7" w:rsidRDefault="00A60AB7" w:rsidP="00A60AB7">
                  <w:pPr>
                    <w:spacing w:after="120"/>
                  </w:pPr>
                  <w:r w:rsidRPr="00A33E48">
                    <w:rPr>
                      <w:rFonts w:eastAsia="Calibri" w:cstheme="minorHAnsi"/>
                      <w:b/>
                    </w:rPr>
                    <w:t>Kryteria weryfikacji</w:t>
                  </w:r>
                </w:p>
              </w:tc>
            </w:tr>
            <w:tr w:rsidR="00A60AB7" w:rsidRPr="00A42ED6" w14:paraId="24A07E27" w14:textId="77777777" w:rsidTr="00EC5E78">
              <w:tc>
                <w:tcPr>
                  <w:tcW w:w="1920" w:type="dxa"/>
                </w:tcPr>
                <w:p w14:paraId="155EAA51" w14:textId="74067B79" w:rsidR="00A60AB7" w:rsidRPr="00A60AB7" w:rsidRDefault="00A60AB7" w:rsidP="00A60AB7">
                  <w:r w:rsidRPr="00A60AB7">
                    <w:t>4.1 Charakteryzuje zasady ciągłego doskonalenia</w:t>
                  </w:r>
                </w:p>
              </w:tc>
              <w:tc>
                <w:tcPr>
                  <w:tcW w:w="7366" w:type="dxa"/>
                </w:tcPr>
                <w:p w14:paraId="7146C05F" w14:textId="0054414C" w:rsidR="00A60AB7" w:rsidRDefault="00A60AB7" w:rsidP="00A60AB7">
                  <w:pPr>
                    <w:spacing w:after="120"/>
                  </w:pPr>
                  <w:r w:rsidRPr="00A60AB7">
                    <w:t xml:space="preserve">a) </w:t>
                  </w:r>
                  <w:r w:rsidR="00CF6A61">
                    <w:t>C</w:t>
                  </w:r>
                  <w:r w:rsidRPr="00A60AB7">
                    <w:t xml:space="preserve">harakteryzuje cykl PDCA – zasady ciągłego doskonalenia, </w:t>
                  </w:r>
                </w:p>
                <w:p w14:paraId="6BB89E5E" w14:textId="7B364379" w:rsidR="00A60AB7" w:rsidRPr="00A60AB7" w:rsidRDefault="00A60AB7" w:rsidP="00A60AB7">
                  <w:pPr>
                    <w:spacing w:after="120"/>
                  </w:pPr>
                  <w:r w:rsidRPr="00A60AB7">
                    <w:t xml:space="preserve">b) </w:t>
                  </w:r>
                  <w:r w:rsidR="00CF6A61">
                    <w:t>W</w:t>
                  </w:r>
                  <w:r w:rsidRPr="00A60AB7">
                    <w:t>ymienia i opisuje narzędzia do prowadzenia cyklu ciągłego doskonalenia (arkusz A3, tablice ciągłego doskonalenia "Kaizen", zasady spotkań ciągłego doskonalenia).</w:t>
                  </w:r>
                </w:p>
              </w:tc>
            </w:tr>
            <w:tr w:rsidR="00A60AB7" w:rsidRPr="00A42ED6" w14:paraId="6211E81D" w14:textId="77777777" w:rsidTr="00EC5E78">
              <w:tc>
                <w:tcPr>
                  <w:tcW w:w="1920" w:type="dxa"/>
                </w:tcPr>
                <w:p w14:paraId="3C145757" w14:textId="099C1C47" w:rsidR="00A60AB7" w:rsidRPr="00A60AB7" w:rsidRDefault="00A60AB7" w:rsidP="00A60AB7">
                  <w:r w:rsidRPr="00A60AB7">
                    <w:t>4.2 Prowadzi spotkania doskonalenia procesu</w:t>
                  </w:r>
                </w:p>
              </w:tc>
              <w:tc>
                <w:tcPr>
                  <w:tcW w:w="7366" w:type="dxa"/>
                </w:tcPr>
                <w:p w14:paraId="67B57318" w14:textId="5DBC746F" w:rsidR="00A60AB7" w:rsidRDefault="00A60AB7" w:rsidP="00A60AB7">
                  <w:pPr>
                    <w:spacing w:after="120"/>
                  </w:pPr>
                  <w:r w:rsidRPr="00A60AB7">
                    <w:t xml:space="preserve">a) </w:t>
                  </w:r>
                  <w:r w:rsidR="00CF6A61">
                    <w:t>O</w:t>
                  </w:r>
                  <w:r w:rsidRPr="00A60AB7">
                    <w:t xml:space="preserve">mawia i stosuje zasady prowadzenia spotkań doskonalenia procesu, </w:t>
                  </w:r>
                </w:p>
                <w:p w14:paraId="73676EC8" w14:textId="1E899D60" w:rsidR="00A60AB7" w:rsidRPr="00A60AB7" w:rsidRDefault="00A60AB7" w:rsidP="00A60AB7">
                  <w:pPr>
                    <w:spacing w:after="120"/>
                  </w:pPr>
                  <w:r w:rsidRPr="00A60AB7">
                    <w:t xml:space="preserve">b) </w:t>
                  </w:r>
                  <w:r w:rsidR="00CF6A61">
                    <w:t>W</w:t>
                  </w:r>
                  <w:r w:rsidRPr="00A60AB7">
                    <w:t>ykorzystuje narzędzie arkusz A3 lub Kartę Usprawnień dostosowane do specyfiki sektora ochrony zdrowia do opisywania i monitorowania wdrażanych usprawnień.</w:t>
                  </w:r>
                </w:p>
              </w:tc>
            </w:tr>
          </w:tbl>
          <w:p w14:paraId="5D8FAEFE" w14:textId="0BB06B55"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AD350D">
        <w:tc>
          <w:tcPr>
            <w:tcW w:w="201"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43"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C21CEE" w:rsidRPr="00E36E74" w:rsidRDefault="00CE175D" w:rsidP="00E36E74">
            <w:r w:rsidRPr="00CE175D">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AD350D">
        <w:tc>
          <w:tcPr>
            <w:tcW w:w="201"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43"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AD350D">
        <w:tc>
          <w:tcPr>
            <w:tcW w:w="201"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lastRenderedPageBreak/>
              <w:t>13</w:t>
            </w:r>
          </w:p>
        </w:tc>
        <w:tc>
          <w:tcPr>
            <w:tcW w:w="3343"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AD350D">
        <w:tc>
          <w:tcPr>
            <w:tcW w:w="201"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43"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66C0AC3E" w:rsidR="000C2FB4" w:rsidRPr="00E36E74" w:rsidRDefault="00ED407C" w:rsidP="00E36E74">
            <w:r w:rsidRPr="00ED407C">
              <w:t>345 - Nauki o zarządzaniu i administracji</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AD350D">
        <w:tc>
          <w:tcPr>
            <w:tcW w:w="201"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43"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26ECFFD7" w:rsidR="000C2FB4" w:rsidRPr="00E36E74" w:rsidRDefault="00ED407C" w:rsidP="00ED407C">
            <w:r>
              <w:t>84.12 - Kierowanie w zakresie działalności związanej z ochroną zdrowia, edukacją, kulturą oraz pozostałymi usługami społecznymi, z wyłączeniem zabezpieczeń społecznych</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AD350D">
        <w:trPr>
          <w:trHeight w:val="1019"/>
        </w:trPr>
        <w:tc>
          <w:tcPr>
            <w:tcW w:w="201"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43" w:type="pct"/>
            <w:vAlign w:val="center"/>
          </w:tcPr>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p>
    <w:p w14:paraId="6638BE0D" w14:textId="60C5C725" w:rsidR="00B061A5" w:rsidRPr="00B061A5" w:rsidRDefault="00547C62" w:rsidP="00B061A5">
      <w:pPr>
        <w:spacing w:before="240" w:after="240"/>
        <w:jc w:val="center"/>
        <w:rPr>
          <w:b/>
          <w:sz w:val="28"/>
          <w:szCs w:val="28"/>
        </w:rPr>
      </w:pPr>
      <w:r w:rsidRPr="00D314CC">
        <w:rPr>
          <w:b/>
          <w:sz w:val="28"/>
          <w:szCs w:val="28"/>
        </w:rPr>
        <w:t>Podsumowanie powyższych uwag</w:t>
      </w:r>
      <w:r w:rsidR="00B061A5" w:rsidRPr="00B061A5">
        <w:rPr>
          <w:rFonts w:eastAsia="Calibri" w:cstheme="minorHAnsi"/>
        </w:rPr>
        <w:t xml:space="preserve"> </w:t>
      </w:r>
      <w:r w:rsidR="00B061A5" w:rsidRPr="00B061A5">
        <w:rPr>
          <w:rFonts w:eastAsia="Calibri" w:cstheme="minorHAnsi"/>
          <w:b/>
          <w:bCs/>
          <w:sz w:val="28"/>
          <w:szCs w:val="28"/>
        </w:rPr>
        <w:t>- dot.</w:t>
      </w:r>
      <w:r w:rsidR="00B061A5">
        <w:rPr>
          <w:rFonts w:eastAsia="Calibri" w:cstheme="minorHAnsi"/>
        </w:rPr>
        <w:t xml:space="preserve"> </w:t>
      </w:r>
      <w:r w:rsidR="00B061A5" w:rsidRPr="00B061A5">
        <w:rPr>
          <w:rFonts w:eastAsia="Calibri" w:cstheme="minorHAnsi"/>
          <w:b/>
          <w:bCs/>
          <w:sz w:val="28"/>
          <w:szCs w:val="28"/>
        </w:rPr>
        <w:t>kwalifikacji rynkowej pn.</w:t>
      </w:r>
      <w:r w:rsidR="00B061A5">
        <w:rPr>
          <w:rFonts w:eastAsia="Calibri" w:cstheme="minorHAnsi"/>
        </w:rPr>
        <w:t xml:space="preserve"> </w:t>
      </w:r>
      <w:r w:rsidR="00B061A5" w:rsidRPr="00B061A5">
        <w:rPr>
          <w:b/>
          <w:sz w:val="28"/>
          <w:szCs w:val="28"/>
        </w:rPr>
        <w:t>Zarządzani</w:t>
      </w:r>
      <w:r w:rsidR="00B061A5">
        <w:rPr>
          <w:b/>
          <w:sz w:val="28"/>
          <w:szCs w:val="28"/>
        </w:rPr>
        <w:t>e</w:t>
      </w:r>
      <w:r w:rsidR="00B061A5" w:rsidRPr="00B061A5">
        <w:rPr>
          <w:b/>
          <w:sz w:val="28"/>
          <w:szCs w:val="28"/>
        </w:rPr>
        <w:t xml:space="preserve"> procesami i zespołami sektora ochrony zdrowia z wykorzystaniem metodyki LEAN MANAGEMENT - Poziom LEAN EKSPERT</w:t>
      </w:r>
    </w:p>
    <w:p w14:paraId="76ADC912" w14:textId="29DFD7A9" w:rsidR="00D314CC" w:rsidRPr="00D314CC" w:rsidRDefault="00D314CC" w:rsidP="00D314CC">
      <w:pPr>
        <w:spacing w:before="240" w:after="240"/>
        <w:jc w:val="center"/>
        <w:rPr>
          <w:b/>
          <w:sz w:val="28"/>
          <w:szCs w:val="28"/>
        </w:rPr>
      </w:pP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20"/>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182A" w14:textId="77777777" w:rsidR="00E12FE9" w:rsidRDefault="00E12FE9" w:rsidP="009F72A9">
      <w:pPr>
        <w:spacing w:after="0" w:line="240" w:lineRule="auto"/>
      </w:pPr>
      <w:r>
        <w:separator/>
      </w:r>
    </w:p>
  </w:endnote>
  <w:endnote w:type="continuationSeparator" w:id="0">
    <w:p w14:paraId="16D75CB1" w14:textId="77777777" w:rsidR="00E12FE9" w:rsidRDefault="00E12FE9"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0046" w14:textId="77777777" w:rsidR="00E12FE9" w:rsidRDefault="00E12FE9" w:rsidP="009F72A9">
      <w:pPr>
        <w:spacing w:after="0" w:line="240" w:lineRule="auto"/>
      </w:pPr>
      <w:r>
        <w:separator/>
      </w:r>
    </w:p>
  </w:footnote>
  <w:footnote w:type="continuationSeparator" w:id="0">
    <w:p w14:paraId="606E4221" w14:textId="77777777" w:rsidR="00E12FE9" w:rsidRDefault="00E12FE9"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AF"/>
    <w:multiLevelType w:val="hybridMultilevel"/>
    <w:tmpl w:val="464C3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C7DFA"/>
    <w:multiLevelType w:val="hybridMultilevel"/>
    <w:tmpl w:val="894C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2574D"/>
    <w:multiLevelType w:val="hybridMultilevel"/>
    <w:tmpl w:val="D2D8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44DDD"/>
    <w:multiLevelType w:val="hybridMultilevel"/>
    <w:tmpl w:val="996403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E4C80"/>
    <w:multiLevelType w:val="hybridMultilevel"/>
    <w:tmpl w:val="04906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5091D"/>
    <w:multiLevelType w:val="hybridMultilevel"/>
    <w:tmpl w:val="938E1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A268A6"/>
    <w:multiLevelType w:val="hybridMultilevel"/>
    <w:tmpl w:val="F6ACB7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1C6126B"/>
    <w:multiLevelType w:val="hybridMultilevel"/>
    <w:tmpl w:val="7B6E928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126AAE"/>
    <w:multiLevelType w:val="hybridMultilevel"/>
    <w:tmpl w:val="E5CC5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C04767"/>
    <w:multiLevelType w:val="hybridMultilevel"/>
    <w:tmpl w:val="E7B824E6"/>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F329F0"/>
    <w:multiLevelType w:val="hybridMultilevel"/>
    <w:tmpl w:val="0E844D9E"/>
    <w:lvl w:ilvl="0" w:tplc="031ED5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10C5EE5"/>
    <w:multiLevelType w:val="hybridMultilevel"/>
    <w:tmpl w:val="73DE9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8A7E83"/>
    <w:multiLevelType w:val="hybridMultilevel"/>
    <w:tmpl w:val="7ACE9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B65E62"/>
    <w:multiLevelType w:val="hybridMultilevel"/>
    <w:tmpl w:val="57301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7E5B9B"/>
    <w:multiLevelType w:val="hybridMultilevel"/>
    <w:tmpl w:val="03EA8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265118"/>
    <w:multiLevelType w:val="hybridMultilevel"/>
    <w:tmpl w:val="F6804B94"/>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7"/>
  </w:num>
  <w:num w:numId="5">
    <w:abstractNumId w:val="2"/>
  </w:num>
  <w:num w:numId="6">
    <w:abstractNumId w:val="12"/>
  </w:num>
  <w:num w:numId="7">
    <w:abstractNumId w:val="8"/>
  </w:num>
  <w:num w:numId="8">
    <w:abstractNumId w:val="1"/>
  </w:num>
  <w:num w:numId="9">
    <w:abstractNumId w:val="15"/>
  </w:num>
  <w:num w:numId="10">
    <w:abstractNumId w:val="11"/>
  </w:num>
  <w:num w:numId="11">
    <w:abstractNumId w:val="3"/>
  </w:num>
  <w:num w:numId="12">
    <w:abstractNumId w:val="16"/>
  </w:num>
  <w:num w:numId="13">
    <w:abstractNumId w:val="9"/>
  </w:num>
  <w:num w:numId="14">
    <w:abstractNumId w:val="6"/>
  </w:num>
  <w:num w:numId="15">
    <w:abstractNumId w:val="10"/>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315D"/>
    <w:rsid w:val="0004505A"/>
    <w:rsid w:val="00045F7D"/>
    <w:rsid w:val="00047D6D"/>
    <w:rsid w:val="00050B4C"/>
    <w:rsid w:val="00051284"/>
    <w:rsid w:val="00057F06"/>
    <w:rsid w:val="000A6A59"/>
    <w:rsid w:val="000B3648"/>
    <w:rsid w:val="000B3B7D"/>
    <w:rsid w:val="000C0A23"/>
    <w:rsid w:val="000C1ECF"/>
    <w:rsid w:val="000C2FB4"/>
    <w:rsid w:val="000C4E3F"/>
    <w:rsid w:val="000C6F29"/>
    <w:rsid w:val="000D0392"/>
    <w:rsid w:val="000D5856"/>
    <w:rsid w:val="000E12F5"/>
    <w:rsid w:val="000E2CD8"/>
    <w:rsid w:val="000E4702"/>
    <w:rsid w:val="000F1A4B"/>
    <w:rsid w:val="000F321D"/>
    <w:rsid w:val="000F51BE"/>
    <w:rsid w:val="00100560"/>
    <w:rsid w:val="00101AA3"/>
    <w:rsid w:val="00105B85"/>
    <w:rsid w:val="00107082"/>
    <w:rsid w:val="00112039"/>
    <w:rsid w:val="00115417"/>
    <w:rsid w:val="0011648A"/>
    <w:rsid w:val="00124940"/>
    <w:rsid w:val="00141ECB"/>
    <w:rsid w:val="00147113"/>
    <w:rsid w:val="00147C1F"/>
    <w:rsid w:val="00163C7C"/>
    <w:rsid w:val="00167AE1"/>
    <w:rsid w:val="0017672D"/>
    <w:rsid w:val="00190841"/>
    <w:rsid w:val="0019574B"/>
    <w:rsid w:val="001B0750"/>
    <w:rsid w:val="001B6E4B"/>
    <w:rsid w:val="001B7ED2"/>
    <w:rsid w:val="001E6392"/>
    <w:rsid w:val="00211274"/>
    <w:rsid w:val="00232B8C"/>
    <w:rsid w:val="002375F9"/>
    <w:rsid w:val="00247F4B"/>
    <w:rsid w:val="00272ED5"/>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A24B2"/>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C0A24"/>
    <w:rsid w:val="004D0CB3"/>
    <w:rsid w:val="004E1564"/>
    <w:rsid w:val="004F254D"/>
    <w:rsid w:val="00504457"/>
    <w:rsid w:val="005105F8"/>
    <w:rsid w:val="005333E2"/>
    <w:rsid w:val="00547C62"/>
    <w:rsid w:val="00583380"/>
    <w:rsid w:val="005A044D"/>
    <w:rsid w:val="005D1829"/>
    <w:rsid w:val="005E19AD"/>
    <w:rsid w:val="005F2E27"/>
    <w:rsid w:val="005F3C04"/>
    <w:rsid w:val="0060026D"/>
    <w:rsid w:val="006156FD"/>
    <w:rsid w:val="00634E0C"/>
    <w:rsid w:val="00643BEE"/>
    <w:rsid w:val="00674A8F"/>
    <w:rsid w:val="006838D7"/>
    <w:rsid w:val="006914ED"/>
    <w:rsid w:val="006943F6"/>
    <w:rsid w:val="00694831"/>
    <w:rsid w:val="006A4371"/>
    <w:rsid w:val="006A5C57"/>
    <w:rsid w:val="006B2C30"/>
    <w:rsid w:val="006B60E4"/>
    <w:rsid w:val="006C2C90"/>
    <w:rsid w:val="006C3170"/>
    <w:rsid w:val="007001C9"/>
    <w:rsid w:val="007007EC"/>
    <w:rsid w:val="007037AF"/>
    <w:rsid w:val="00706E10"/>
    <w:rsid w:val="00713450"/>
    <w:rsid w:val="00723562"/>
    <w:rsid w:val="0073226C"/>
    <w:rsid w:val="00741336"/>
    <w:rsid w:val="00747343"/>
    <w:rsid w:val="0076294D"/>
    <w:rsid w:val="0076587A"/>
    <w:rsid w:val="00771A2E"/>
    <w:rsid w:val="00775671"/>
    <w:rsid w:val="00782A08"/>
    <w:rsid w:val="007904C9"/>
    <w:rsid w:val="0079055B"/>
    <w:rsid w:val="007A2F12"/>
    <w:rsid w:val="007B059F"/>
    <w:rsid w:val="007B79E0"/>
    <w:rsid w:val="007C49F7"/>
    <w:rsid w:val="007D2495"/>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6749"/>
    <w:rsid w:val="008D7C81"/>
    <w:rsid w:val="008E0000"/>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1018"/>
    <w:rsid w:val="009F72A9"/>
    <w:rsid w:val="00A0429B"/>
    <w:rsid w:val="00A134CA"/>
    <w:rsid w:val="00A154A9"/>
    <w:rsid w:val="00A154B7"/>
    <w:rsid w:val="00A20669"/>
    <w:rsid w:val="00A33E48"/>
    <w:rsid w:val="00A375DF"/>
    <w:rsid w:val="00A57563"/>
    <w:rsid w:val="00A60AB7"/>
    <w:rsid w:val="00A74500"/>
    <w:rsid w:val="00A81482"/>
    <w:rsid w:val="00A931FD"/>
    <w:rsid w:val="00AB7337"/>
    <w:rsid w:val="00AB7BCC"/>
    <w:rsid w:val="00AC0C72"/>
    <w:rsid w:val="00AC4170"/>
    <w:rsid w:val="00AD350D"/>
    <w:rsid w:val="00AD571A"/>
    <w:rsid w:val="00AE4E3F"/>
    <w:rsid w:val="00AF5A7A"/>
    <w:rsid w:val="00B061A5"/>
    <w:rsid w:val="00B07E97"/>
    <w:rsid w:val="00B11382"/>
    <w:rsid w:val="00B16E48"/>
    <w:rsid w:val="00B30663"/>
    <w:rsid w:val="00B44CE2"/>
    <w:rsid w:val="00B550F4"/>
    <w:rsid w:val="00B9085A"/>
    <w:rsid w:val="00B90C43"/>
    <w:rsid w:val="00BA783A"/>
    <w:rsid w:val="00BB5106"/>
    <w:rsid w:val="00BC2D65"/>
    <w:rsid w:val="00BD4475"/>
    <w:rsid w:val="00BD523D"/>
    <w:rsid w:val="00BF3A48"/>
    <w:rsid w:val="00BF4A97"/>
    <w:rsid w:val="00C01770"/>
    <w:rsid w:val="00C053BD"/>
    <w:rsid w:val="00C20DA5"/>
    <w:rsid w:val="00C219FB"/>
    <w:rsid w:val="00C21CEE"/>
    <w:rsid w:val="00C40413"/>
    <w:rsid w:val="00C81EE3"/>
    <w:rsid w:val="00C85B01"/>
    <w:rsid w:val="00C92219"/>
    <w:rsid w:val="00CB3B9C"/>
    <w:rsid w:val="00CC7A11"/>
    <w:rsid w:val="00CC7BD8"/>
    <w:rsid w:val="00CD4C80"/>
    <w:rsid w:val="00CD6D8E"/>
    <w:rsid w:val="00CE0473"/>
    <w:rsid w:val="00CE175D"/>
    <w:rsid w:val="00CF191E"/>
    <w:rsid w:val="00CF54BE"/>
    <w:rsid w:val="00CF5B72"/>
    <w:rsid w:val="00CF6A61"/>
    <w:rsid w:val="00D01FD3"/>
    <w:rsid w:val="00D12165"/>
    <w:rsid w:val="00D12E26"/>
    <w:rsid w:val="00D1396F"/>
    <w:rsid w:val="00D14104"/>
    <w:rsid w:val="00D16D5A"/>
    <w:rsid w:val="00D314CC"/>
    <w:rsid w:val="00D34408"/>
    <w:rsid w:val="00D5565D"/>
    <w:rsid w:val="00D83281"/>
    <w:rsid w:val="00D8570B"/>
    <w:rsid w:val="00DA1969"/>
    <w:rsid w:val="00DD455B"/>
    <w:rsid w:val="00DE4E74"/>
    <w:rsid w:val="00DE65D2"/>
    <w:rsid w:val="00DE70B8"/>
    <w:rsid w:val="00DF2E99"/>
    <w:rsid w:val="00DF48FB"/>
    <w:rsid w:val="00DF64B6"/>
    <w:rsid w:val="00DF78D8"/>
    <w:rsid w:val="00E040C4"/>
    <w:rsid w:val="00E12FE9"/>
    <w:rsid w:val="00E24E15"/>
    <w:rsid w:val="00E257F4"/>
    <w:rsid w:val="00E36E74"/>
    <w:rsid w:val="00E544F1"/>
    <w:rsid w:val="00E643BA"/>
    <w:rsid w:val="00E66CC7"/>
    <w:rsid w:val="00E729A4"/>
    <w:rsid w:val="00E7379D"/>
    <w:rsid w:val="00E90533"/>
    <w:rsid w:val="00E917BB"/>
    <w:rsid w:val="00E92D98"/>
    <w:rsid w:val="00E9321E"/>
    <w:rsid w:val="00EA3452"/>
    <w:rsid w:val="00EB63CB"/>
    <w:rsid w:val="00EC5E78"/>
    <w:rsid w:val="00EC79CA"/>
    <w:rsid w:val="00ED407C"/>
    <w:rsid w:val="00EE6CFA"/>
    <w:rsid w:val="00EF075D"/>
    <w:rsid w:val="00EF75AC"/>
    <w:rsid w:val="00F02260"/>
    <w:rsid w:val="00F03FE0"/>
    <w:rsid w:val="00F17FA5"/>
    <w:rsid w:val="00F302C0"/>
    <w:rsid w:val="00F408AB"/>
    <w:rsid w:val="00F4792F"/>
    <w:rsid w:val="00F5543E"/>
    <w:rsid w:val="00F56B68"/>
    <w:rsid w:val="00F5762E"/>
    <w:rsid w:val="00F65699"/>
    <w:rsid w:val="00F70B26"/>
    <w:rsid w:val="00F70CE9"/>
    <w:rsid w:val="00F9138C"/>
    <w:rsid w:val="00F9449A"/>
    <w:rsid w:val="00FB11E8"/>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character" w:styleId="Nierozpoznanawzmianka">
    <w:name w:val="Unresolved Mention"/>
    <w:basedOn w:val="Domylnaczcionkaakapitu"/>
    <w:uiPriority w:val="99"/>
    <w:semiHidden/>
    <w:unhideWhenUsed/>
    <w:rsid w:val="00AD350D"/>
    <w:rPr>
      <w:color w:val="605E5C"/>
      <w:shd w:val="clear" w:color="auto" w:fill="E1DFDD"/>
    </w:rPr>
  </w:style>
  <w:style w:type="paragraph" w:styleId="NormalnyWeb">
    <w:name w:val="Normal (Web)"/>
    <w:basedOn w:val="Normalny"/>
    <w:uiPriority w:val="99"/>
    <w:unhideWhenUsed/>
    <w:rsid w:val="00272ED5"/>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ncenter.pl/bazawiedzy/artykul/article_id/101" TargetMode="External"/><Relationship Id="rId13" Type="http://schemas.openxmlformats.org/officeDocument/2006/relationships/hyperlink" Target="https://postgraduateeducation.hms.harvard.edu/trends-medicine/developing-learning-health-systems-navigate-covid-19-pandemic" TargetMode="External"/><Relationship Id="rId18"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p.gov.pl/storage/grants/documents/116/Zacznik_15.2C-REKOMENDACJA-RADY-OPIEKA-ZDROWOTNA-obowizujcy-od-15.05.2019r._190515.pdf" TargetMode="External"/><Relationship Id="rId17" Type="http://schemas.openxmlformats.org/officeDocument/2006/relationships/hyperlink" Target="https://sslkolegia.sgh.waw.pl/pl/KZiF/czasopisma/zeszytynaukowestudiaipracekzif/Documents/16704Bukowska.pdf" TargetMode="External"/><Relationship Id="rId2" Type="http://schemas.openxmlformats.org/officeDocument/2006/relationships/numbering" Target="numbering.xml"/><Relationship Id="rId16" Type="http://schemas.openxmlformats.org/officeDocument/2006/relationships/hyperlink" Target="https://eiah.eib.org/publications/attachments/report-health-sector-study-20180322-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pr.imp.lodz.pl" TargetMode="External"/><Relationship Id="rId5" Type="http://schemas.openxmlformats.org/officeDocument/2006/relationships/webSettings" Target="webSettings.xml"/><Relationship Id="rId15" Type="http://schemas.openxmlformats.org/officeDocument/2006/relationships/hyperlink" Target="https://data.oecd.org/healthres/pharmaceutical-spending.htm" TargetMode="External"/><Relationship Id="rId10" Type="http://schemas.openxmlformats.org/officeDocument/2006/relationships/hyperlink" Target="http://www.biomedcentral.com/1472-6963/12/28" TargetMode="External"/><Relationship Id="rId19" Type="http://schemas.openxmlformats.org/officeDocument/2006/relationships/hyperlink" Target="https://www.gov.pl/web/edukacja-i-nauka/perspektywa-uczenia-sie-przez-cale-zycie" TargetMode="External"/><Relationship Id="rId4" Type="http://schemas.openxmlformats.org/officeDocument/2006/relationships/settings" Target="settings.xml"/><Relationship Id="rId9" Type="http://schemas.openxmlformats.org/officeDocument/2006/relationships/hyperlink" Target="http://www.diva-portal.org/smash/get/diva2:460019/FULLTEXT01" TargetMode="External"/><Relationship Id="rId14" Type="http://schemas.openxmlformats.org/officeDocument/2006/relationships/hyperlink" Target="https://www.health.org.uk/publications/shaping-the-future" TargetMode="Externa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F71F-7934-4B8E-B9B6-8D9311B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6322</Words>
  <Characters>37932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Salwowska Agnieszka</cp:lastModifiedBy>
  <cp:revision>2</cp:revision>
  <cp:lastPrinted>2018-07-27T06:01:00Z</cp:lastPrinted>
  <dcterms:created xsi:type="dcterms:W3CDTF">2021-12-22T10:33:00Z</dcterms:created>
  <dcterms:modified xsi:type="dcterms:W3CDTF">2021-12-22T10:33:00Z</dcterms:modified>
</cp:coreProperties>
</file>