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887AF3">
        <w:rPr>
          <w:rFonts w:ascii="Arial" w:hAnsi="Arial" w:cs="Arial"/>
        </w:rPr>
        <w:t xml:space="preserve">Ministerstwo </w:t>
      </w:r>
      <w:r w:rsidR="00EE53BB">
        <w:rPr>
          <w:rFonts w:ascii="Arial" w:hAnsi="Arial" w:cs="Arial"/>
        </w:rPr>
        <w:t>Rozwoju</w:t>
      </w:r>
      <w:r w:rsidR="00887AF3" w:rsidRPr="00887AF3">
        <w:rPr>
          <w:rFonts w:ascii="Arial" w:hAnsi="Arial" w:cs="Arial"/>
        </w:rPr>
        <w:t xml:space="preserve"> </w:t>
      </w:r>
      <w:r w:rsidR="00FF2B67" w:rsidRPr="00887AF3">
        <w:rPr>
          <w:rFonts w:ascii="Arial" w:hAnsi="Arial" w:cs="Arial"/>
        </w:rPr>
        <w:t>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="00EE53BB">
        <w:rPr>
          <w:rFonts w:ascii="Arial" w:hAnsi="Arial" w:cs="Arial"/>
          <w:sz w:val="18"/>
          <w:szCs w:val="20"/>
        </w:rPr>
        <w:tab/>
      </w:r>
      <w:r w:rsidR="00EE53BB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</w:t>
      </w:r>
      <w:r>
        <w:rPr>
          <w:rFonts w:ascii="Arial" w:hAnsi="Arial" w:cs="Arial"/>
        </w:rPr>
        <w:t>ej</w:t>
      </w:r>
    </w:p>
    <w:p w:rsidR="00DC0C5B" w:rsidRPr="00E438FC" w:rsidRDefault="00DC0C5B" w:rsidP="00DC0C5B">
      <w:pPr>
        <w:spacing w:before="60" w:after="60"/>
        <w:jc w:val="center"/>
        <w:rPr>
          <w:rFonts w:cstheme="minorHAnsi"/>
        </w:rPr>
      </w:pPr>
      <w:r w:rsidRPr="00E438FC">
        <w:rPr>
          <w:rFonts w:cstheme="minorHAnsi"/>
        </w:rPr>
        <w:t xml:space="preserve">pn. </w:t>
      </w:r>
      <w:r w:rsidRPr="00E438FC">
        <w:rPr>
          <w:rFonts w:cstheme="minorHAnsi"/>
          <w:b/>
        </w:rPr>
        <w:t>„</w:t>
      </w:r>
      <w:r w:rsidR="00E438FC" w:rsidRPr="00E438FC">
        <w:rPr>
          <w:rFonts w:cstheme="minorHAnsi"/>
          <w:b/>
          <w:color w:val="000000"/>
        </w:rPr>
        <w:t>Prefabrykacja pojedynczych i seryjnych elementów blaszanych instalacji HVAC</w:t>
      </w:r>
      <w:r w:rsidRPr="00E438FC">
        <w:rPr>
          <w:rFonts w:cstheme="minorHAnsi"/>
          <w:b/>
        </w:rPr>
        <w:t>”</w:t>
      </w:r>
    </w:p>
    <w:p w:rsidR="00DC0C5B" w:rsidRPr="00173A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DC0C5B">
        <w:rPr>
          <w:rFonts w:ascii="Arial" w:hAnsi="Arial" w:cs="Arial"/>
        </w:rPr>
        <w:t xml:space="preserve">ego </w:t>
      </w:r>
      <w:r w:rsidRPr="00F364FF">
        <w:rPr>
          <w:rFonts w:ascii="Arial" w:hAnsi="Arial" w:cs="Arial"/>
        </w:rPr>
        <w:t xml:space="preserve">przez </w:t>
      </w:r>
      <w:r w:rsidR="00E438FC">
        <w:rPr>
          <w:rFonts w:ascii="Arial" w:hAnsi="Arial" w:cs="Arial"/>
        </w:rPr>
        <w:t xml:space="preserve">firmę </w:t>
      </w:r>
      <w:r w:rsidR="00E438FC" w:rsidRPr="00E438FC">
        <w:rPr>
          <w:rFonts w:ascii="Arial" w:hAnsi="Arial" w:cs="Arial"/>
        </w:rPr>
        <w:t>Ciecholewski Wentylacje Sp. z o.o.</w:t>
      </w:r>
    </w:p>
    <w:p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6031"/>
      </w:tblGrid>
      <w:tr w:rsidR="00A66E04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E438FC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istnieje społeczno-gospodarcza potrzeba włączenia kwalifikacji</w:t>
            </w:r>
            <w:r w:rsidR="00DC0C5B">
              <w:rPr>
                <w:rFonts w:ascii="Arial" w:hAnsi="Arial" w:cs="Arial"/>
              </w:rPr>
              <w:t xml:space="preserve"> </w:t>
            </w:r>
            <w:r w:rsidR="00DC0C5B" w:rsidRPr="00DC0C5B">
              <w:rPr>
                <w:rFonts w:ascii="Arial" w:hAnsi="Arial" w:cs="Arial"/>
              </w:rPr>
              <w:t>„</w:t>
            </w:r>
            <w:r w:rsidR="00E438FC" w:rsidRPr="00E438FC">
              <w:rPr>
                <w:rFonts w:cstheme="minorHAnsi"/>
                <w:color w:val="000000"/>
              </w:rPr>
              <w:t>Prefabrykacja pojedynczych i seryjnych elementów blaszanych instalacji HVAC</w:t>
            </w:r>
            <w:r w:rsidR="00DC0C5B" w:rsidRPr="00DC0C5B">
              <w:rPr>
                <w:rFonts w:ascii="Arial" w:hAnsi="Arial" w:cs="Arial"/>
              </w:rPr>
              <w:t>”</w:t>
            </w:r>
            <w:r w:rsidRP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do Zintegrowanego Systemu Kwalifikacji?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lastRenderedPageBreak/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E438FC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dorosłych, w tym absolwentów szkół </w:t>
            </w:r>
            <w:r w:rsidR="00E438FC">
              <w:rPr>
                <w:rFonts w:ascii="Arial" w:hAnsi="Arial" w:cs="Arial"/>
              </w:rPr>
              <w:t>zawodowych</w:t>
            </w:r>
            <w:r w:rsid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 xml:space="preserve">oraz słuchaczy kursów zawodowych, oficjalnym potwierdzeniem posiadanych już kompetencji z zakresu </w:t>
            </w:r>
            <w:r w:rsidR="00E438FC">
              <w:rPr>
                <w:rFonts w:ascii="Arial" w:hAnsi="Arial" w:cs="Arial"/>
              </w:rPr>
              <w:t>prefabrykacji elementów blaszanych instalacji HVAC</w:t>
            </w:r>
            <w:bookmarkStart w:id="0" w:name="_GoBack"/>
            <w:bookmarkEnd w:id="0"/>
            <w:r w:rsid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lub zachęci ich do nabycia takich umiejętności?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3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:rsidTr="00BE57D8">
        <w:tc>
          <w:tcPr>
            <w:tcW w:w="5070" w:type="dxa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8A2A7E">
        <w:trPr>
          <w:trHeight w:val="135"/>
        </w:trPr>
        <w:tc>
          <w:tcPr>
            <w:tcW w:w="5070" w:type="dxa"/>
            <w:shd w:val="clear" w:color="auto" w:fill="auto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8F" w:rsidRDefault="00FE088F" w:rsidP="009F72A9">
      <w:pPr>
        <w:spacing w:after="0" w:line="240" w:lineRule="auto"/>
      </w:pPr>
      <w:r>
        <w:separator/>
      </w:r>
    </w:p>
  </w:endnote>
  <w:endnote w:type="continuationSeparator" w:id="0">
    <w:p w:rsidR="00FE088F" w:rsidRDefault="00FE088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F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8F" w:rsidRDefault="00FE088F" w:rsidP="009F72A9">
      <w:pPr>
        <w:spacing w:after="0" w:line="240" w:lineRule="auto"/>
      </w:pPr>
      <w:r>
        <w:separator/>
      </w:r>
    </w:p>
  </w:footnote>
  <w:footnote w:type="continuationSeparator" w:id="0">
    <w:p w:rsidR="00FE088F" w:rsidRDefault="00FE088F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3632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1DC1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C0C5B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438FC"/>
    <w:rsid w:val="00E90847"/>
    <w:rsid w:val="00E90F3F"/>
    <w:rsid w:val="00EB4A10"/>
    <w:rsid w:val="00EE53BB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088F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3179-4BE3-4F83-922D-EF855A98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Ewa Kowalczuk</cp:lastModifiedBy>
  <cp:revision>2</cp:revision>
  <cp:lastPrinted>2017-11-13T11:44:00Z</cp:lastPrinted>
  <dcterms:created xsi:type="dcterms:W3CDTF">2021-10-27T11:23:00Z</dcterms:created>
  <dcterms:modified xsi:type="dcterms:W3CDTF">2021-10-27T11:23:00Z</dcterms:modified>
</cp:coreProperties>
</file>