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D1CD7" w14:textId="79E233DE" w:rsidR="00416268" w:rsidRPr="00FF0B64" w:rsidRDefault="00960736" w:rsidP="00416268">
      <w:pPr>
        <w:spacing w:before="120"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0"/>
        </w:rPr>
        <w:t xml:space="preserve">Ministerstwo </w:t>
      </w:r>
      <w:r w:rsidR="00730F0A">
        <w:rPr>
          <w:rFonts w:ascii="Arial" w:hAnsi="Arial" w:cs="Arial"/>
          <w:sz w:val="24"/>
          <w:szCs w:val="20"/>
        </w:rPr>
        <w:t>Edukacji Narodowej</w:t>
      </w:r>
    </w:p>
    <w:p w14:paraId="5D486056" w14:textId="77777777" w:rsidR="00416268" w:rsidRDefault="00416268" w:rsidP="00416268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</w:p>
    <w:p w14:paraId="3CA4A33A" w14:textId="77777777" w:rsidR="00415B6D" w:rsidRDefault="00DF2E99" w:rsidP="00416268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F</w:t>
      </w:r>
      <w:r w:rsidRPr="0049435E">
        <w:rPr>
          <w:rFonts w:ascii="Arial" w:hAnsi="Arial" w:cs="Arial"/>
          <w:b/>
          <w:sz w:val="28"/>
          <w:szCs w:val="24"/>
        </w:rPr>
        <w:t xml:space="preserve">ormularz </w:t>
      </w:r>
      <w:r w:rsidR="00F17FA5">
        <w:rPr>
          <w:rFonts w:ascii="Arial" w:hAnsi="Arial" w:cs="Arial"/>
          <w:b/>
          <w:sz w:val="28"/>
          <w:szCs w:val="24"/>
        </w:rPr>
        <w:t>konsultacji z zainteresowanymi środowiskami</w:t>
      </w:r>
    </w:p>
    <w:p w14:paraId="1316B5B3" w14:textId="77777777" w:rsidR="00415B6D" w:rsidRPr="00FF6919" w:rsidRDefault="00415B6D" w:rsidP="00415B6D">
      <w:pPr>
        <w:spacing w:after="0" w:line="360" w:lineRule="auto"/>
        <w:jc w:val="center"/>
        <w:outlineLvl w:val="0"/>
        <w:rPr>
          <w:rFonts w:ascii="Arial" w:hAnsi="Arial" w:cs="Arial"/>
        </w:rPr>
      </w:pPr>
      <w:r w:rsidRPr="00FF6919">
        <w:rPr>
          <w:rFonts w:ascii="Arial" w:hAnsi="Arial" w:cs="Arial"/>
        </w:rPr>
        <w:t xml:space="preserve">wniosku o włączenie do Zintegrowanego Systemu Kwalifikacji, kwalifikacji wolnorynkowej: </w:t>
      </w:r>
    </w:p>
    <w:p w14:paraId="69454E65" w14:textId="70426276" w:rsidR="00415B6D" w:rsidRPr="00730F0A" w:rsidRDefault="00730F0A" w:rsidP="00730F0A">
      <w:pPr>
        <w:spacing w:after="0" w:line="360" w:lineRule="auto"/>
        <w:jc w:val="center"/>
        <w:outlineLvl w:val="0"/>
        <w:rPr>
          <w:rFonts w:ascii="Arial" w:hAnsi="Arial" w:cs="Arial"/>
          <w:b/>
          <w:i/>
        </w:rPr>
      </w:pPr>
      <w:r w:rsidRPr="00730F0A">
        <w:rPr>
          <w:rFonts w:ascii="Arial" w:hAnsi="Arial" w:cs="Arial"/>
          <w:b/>
          <w:i/>
        </w:rPr>
        <w:t>Wspieranie zdolnych i uzdolnionych dzieci oraz młodzieży</w:t>
      </w:r>
      <w:r>
        <w:rPr>
          <w:rFonts w:ascii="Arial" w:hAnsi="Arial" w:cs="Arial"/>
          <w:b/>
          <w:i/>
        </w:rPr>
        <w:t xml:space="preserve"> </w:t>
      </w:r>
      <w:r w:rsidR="00415B6D" w:rsidRPr="00FF6919">
        <w:rPr>
          <w:rFonts w:ascii="Arial" w:hAnsi="Arial" w:cs="Arial"/>
        </w:rPr>
        <w:t xml:space="preserve">złożonego przez </w:t>
      </w:r>
    </w:p>
    <w:p w14:paraId="22DD65A4" w14:textId="73A6E52B" w:rsidR="00415B6D" w:rsidRPr="00FF6919" w:rsidRDefault="00730F0A" w:rsidP="00415B6D">
      <w:pPr>
        <w:spacing w:after="0" w:line="36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Fundację VCC</w:t>
      </w:r>
    </w:p>
    <w:p w14:paraId="2290FC1A" w14:textId="77777777" w:rsidR="00415B6D" w:rsidRPr="00FF6919" w:rsidRDefault="00415B6D" w:rsidP="00415B6D">
      <w:pPr>
        <w:spacing w:after="0" w:line="360" w:lineRule="auto"/>
        <w:jc w:val="center"/>
        <w:outlineLvl w:val="0"/>
        <w:rPr>
          <w:rFonts w:ascii="Arial" w:hAnsi="Arial" w:cs="Arial"/>
        </w:rPr>
      </w:pPr>
      <w:r w:rsidRPr="00FF6919">
        <w:rPr>
          <w:rFonts w:ascii="Arial" w:hAnsi="Arial" w:cs="Arial"/>
        </w:rPr>
        <w:t>konsultacje środowiskowe –</w:t>
      </w:r>
    </w:p>
    <w:p w14:paraId="2F243BC7" w14:textId="77777777" w:rsidR="00415B6D" w:rsidRPr="00FF6919" w:rsidRDefault="00415B6D" w:rsidP="00415B6D">
      <w:pPr>
        <w:spacing w:after="0" w:line="36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FF6919">
        <w:rPr>
          <w:rFonts w:ascii="Arial" w:hAnsi="Arial" w:cs="Arial"/>
          <w:sz w:val="20"/>
          <w:szCs w:val="20"/>
        </w:rPr>
        <w:t>Konsultacje są prowadzone zgodnie z art. 19 ust. 2 ustawy z dnia 22 grudnia 2015 r. o Zintegrowanym Systemie Kwalifikacji (Dz. U. 2020 r. poz. 226, z późn. zm.)</w:t>
      </w:r>
    </w:p>
    <w:p w14:paraId="1C15FBF7" w14:textId="77777777" w:rsidR="00E9321E" w:rsidRDefault="00E9321E" w:rsidP="00DF2E99">
      <w:pPr>
        <w:jc w:val="center"/>
        <w:rPr>
          <w:rFonts w:ascii="Arial" w:hAnsi="Arial" w:cs="Arial"/>
        </w:rPr>
      </w:pPr>
    </w:p>
    <w:p w14:paraId="126FEED3" w14:textId="77777777" w:rsidR="00FF6919" w:rsidRPr="00102F7E" w:rsidRDefault="00FF6919" w:rsidP="00A579E6">
      <w:pPr>
        <w:spacing w:after="0"/>
        <w:ind w:left="720" w:firstLine="720"/>
        <w:rPr>
          <w:rFonts w:ascii="Arial" w:hAnsi="Arial" w:cs="Arial"/>
          <w:b/>
          <w:i/>
          <w:sz w:val="18"/>
          <w:szCs w:val="20"/>
        </w:rPr>
      </w:pPr>
      <w:r w:rsidRPr="00102F7E">
        <w:rPr>
          <w:rFonts w:ascii="Arial" w:hAnsi="Arial" w:cs="Arial"/>
          <w:b/>
          <w:i/>
          <w:sz w:val="18"/>
          <w:szCs w:val="20"/>
        </w:rPr>
        <w:t>Informacje kontaktowe:</w:t>
      </w:r>
    </w:p>
    <w:tbl>
      <w:tblPr>
        <w:tblStyle w:val="Tabela-Siatka"/>
        <w:tblW w:w="4000" w:type="pct"/>
        <w:jc w:val="center"/>
        <w:tblLook w:val="04A0" w:firstRow="1" w:lastRow="0" w:firstColumn="1" w:lastColumn="0" w:noHBand="0" w:noVBand="1"/>
      </w:tblPr>
      <w:tblGrid>
        <w:gridCol w:w="2689"/>
        <w:gridCol w:w="8505"/>
      </w:tblGrid>
      <w:tr w:rsidR="00FF6919" w:rsidRPr="00C66BAE" w14:paraId="532D29F4" w14:textId="77777777" w:rsidTr="00A579E6">
        <w:trPr>
          <w:trHeight w:val="535"/>
          <w:jc w:val="center"/>
        </w:trPr>
        <w:tc>
          <w:tcPr>
            <w:tcW w:w="1201" w:type="pct"/>
            <w:shd w:val="clear" w:color="auto" w:fill="F2F2F2" w:themeFill="background1" w:themeFillShade="F2"/>
            <w:vAlign w:val="center"/>
          </w:tcPr>
          <w:p w14:paraId="6B29E20D" w14:textId="77777777" w:rsidR="00FF6919" w:rsidRPr="00FF6919" w:rsidRDefault="00A579E6" w:rsidP="00A579E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</w:t>
            </w:r>
            <w:r w:rsidR="00FF6919" w:rsidRPr="00FF6919">
              <w:rPr>
                <w:sz w:val="20"/>
                <w:szCs w:val="20"/>
              </w:rPr>
              <w:t>isko</w:t>
            </w:r>
          </w:p>
        </w:tc>
        <w:tc>
          <w:tcPr>
            <w:tcW w:w="3799" w:type="pct"/>
            <w:shd w:val="clear" w:color="auto" w:fill="auto"/>
            <w:vAlign w:val="center"/>
          </w:tcPr>
          <w:p w14:paraId="40D1FEEA" w14:textId="77777777" w:rsidR="00FF6919" w:rsidRPr="006C3170" w:rsidRDefault="00FF6919" w:rsidP="00A579E6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FF6919" w:rsidRPr="00C66BAE" w14:paraId="03A6E530" w14:textId="77777777" w:rsidTr="00A579E6">
        <w:trPr>
          <w:trHeight w:val="646"/>
          <w:jc w:val="center"/>
        </w:trPr>
        <w:tc>
          <w:tcPr>
            <w:tcW w:w="1201" w:type="pct"/>
            <w:shd w:val="clear" w:color="auto" w:fill="F2F2F2" w:themeFill="background1" w:themeFillShade="F2"/>
            <w:vAlign w:val="center"/>
          </w:tcPr>
          <w:p w14:paraId="06AF5268" w14:textId="77777777" w:rsidR="00FF6919" w:rsidRPr="00FF6919" w:rsidRDefault="00FF6919" w:rsidP="00A579E6">
            <w:pPr>
              <w:spacing w:after="0"/>
              <w:rPr>
                <w:sz w:val="20"/>
                <w:szCs w:val="20"/>
              </w:rPr>
            </w:pPr>
            <w:r w:rsidRPr="00FF6919">
              <w:rPr>
                <w:sz w:val="20"/>
                <w:szCs w:val="20"/>
              </w:rPr>
              <w:t>Instytucja / Organizacja wyrażająca opinię</w:t>
            </w:r>
          </w:p>
        </w:tc>
        <w:tc>
          <w:tcPr>
            <w:tcW w:w="3799" w:type="pct"/>
            <w:shd w:val="clear" w:color="auto" w:fill="auto"/>
            <w:vAlign w:val="center"/>
          </w:tcPr>
          <w:p w14:paraId="0EF90E51" w14:textId="77777777" w:rsidR="00FF6919" w:rsidRPr="006C3170" w:rsidRDefault="00FF6919" w:rsidP="00A579E6">
            <w:pPr>
              <w:spacing w:after="0"/>
              <w:rPr>
                <w:sz w:val="20"/>
                <w:szCs w:val="20"/>
              </w:rPr>
            </w:pPr>
          </w:p>
        </w:tc>
      </w:tr>
      <w:tr w:rsidR="00FF6919" w:rsidRPr="00C66BAE" w14:paraId="52960148" w14:textId="77777777" w:rsidTr="00A579E6">
        <w:trPr>
          <w:trHeight w:val="754"/>
          <w:jc w:val="center"/>
        </w:trPr>
        <w:tc>
          <w:tcPr>
            <w:tcW w:w="120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318E9" w14:textId="77777777" w:rsidR="00A579E6" w:rsidRDefault="00FF6919" w:rsidP="00A579E6">
            <w:pPr>
              <w:spacing w:after="120"/>
              <w:rPr>
                <w:sz w:val="20"/>
                <w:szCs w:val="20"/>
              </w:rPr>
            </w:pPr>
            <w:r w:rsidRPr="00FF6919">
              <w:rPr>
                <w:sz w:val="20"/>
                <w:szCs w:val="20"/>
              </w:rPr>
              <w:t>Adres</w:t>
            </w:r>
          </w:p>
          <w:p w14:paraId="55CF7E81" w14:textId="77777777" w:rsidR="00FF6919" w:rsidRPr="00A579E6" w:rsidRDefault="00FF6919" w:rsidP="00A579E6">
            <w:pPr>
              <w:spacing w:after="0"/>
              <w:rPr>
                <w:i/>
                <w:sz w:val="20"/>
                <w:szCs w:val="20"/>
              </w:rPr>
            </w:pPr>
            <w:r w:rsidRPr="00A579E6">
              <w:rPr>
                <w:i/>
                <w:sz w:val="16"/>
                <w:szCs w:val="16"/>
              </w:rPr>
              <w:t>(tylko w przypadku instytucji/organizacji)</w:t>
            </w:r>
          </w:p>
        </w:tc>
        <w:tc>
          <w:tcPr>
            <w:tcW w:w="37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50F3B" w14:textId="77777777" w:rsidR="00FF6919" w:rsidRPr="006C3170" w:rsidRDefault="00FF6919" w:rsidP="00A579E6">
            <w:pPr>
              <w:spacing w:after="0"/>
              <w:rPr>
                <w:sz w:val="20"/>
                <w:szCs w:val="20"/>
              </w:rPr>
            </w:pPr>
          </w:p>
        </w:tc>
      </w:tr>
      <w:tr w:rsidR="00FF6919" w:rsidRPr="00C66BAE" w14:paraId="68EE5246" w14:textId="77777777" w:rsidTr="00A579E6">
        <w:trPr>
          <w:trHeight w:val="552"/>
          <w:jc w:val="center"/>
        </w:trPr>
        <w:tc>
          <w:tcPr>
            <w:tcW w:w="1201" w:type="pct"/>
            <w:shd w:val="clear" w:color="auto" w:fill="F2F2F2" w:themeFill="background1" w:themeFillShade="F2"/>
            <w:vAlign w:val="center"/>
          </w:tcPr>
          <w:p w14:paraId="5FBBFF7F" w14:textId="77777777" w:rsidR="00FF6919" w:rsidRPr="00FF6919" w:rsidRDefault="00FF6919" w:rsidP="00A579E6">
            <w:pPr>
              <w:spacing w:after="0"/>
              <w:rPr>
                <w:sz w:val="20"/>
                <w:szCs w:val="20"/>
              </w:rPr>
            </w:pPr>
            <w:r w:rsidRPr="00FF6919">
              <w:rPr>
                <w:sz w:val="20"/>
                <w:szCs w:val="20"/>
              </w:rPr>
              <w:t>Telefon</w:t>
            </w:r>
          </w:p>
        </w:tc>
        <w:tc>
          <w:tcPr>
            <w:tcW w:w="3799" w:type="pct"/>
            <w:shd w:val="clear" w:color="auto" w:fill="auto"/>
            <w:vAlign w:val="center"/>
          </w:tcPr>
          <w:p w14:paraId="4A458AE5" w14:textId="77777777" w:rsidR="00FF6919" w:rsidRPr="006C3170" w:rsidRDefault="00FF6919" w:rsidP="00A579E6">
            <w:pPr>
              <w:spacing w:after="0"/>
              <w:rPr>
                <w:sz w:val="20"/>
                <w:szCs w:val="20"/>
              </w:rPr>
            </w:pPr>
          </w:p>
        </w:tc>
      </w:tr>
      <w:tr w:rsidR="00FF6919" w:rsidRPr="00C66BAE" w14:paraId="5378EAF3" w14:textId="77777777" w:rsidTr="00A579E6">
        <w:trPr>
          <w:trHeight w:val="514"/>
          <w:jc w:val="center"/>
        </w:trPr>
        <w:tc>
          <w:tcPr>
            <w:tcW w:w="120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73487" w14:textId="77777777" w:rsidR="00FF6919" w:rsidRPr="00FF6919" w:rsidRDefault="00FF6919" w:rsidP="00A579E6">
            <w:pPr>
              <w:spacing w:after="0"/>
              <w:rPr>
                <w:sz w:val="20"/>
                <w:szCs w:val="20"/>
              </w:rPr>
            </w:pPr>
            <w:r w:rsidRPr="00FF6919">
              <w:rPr>
                <w:sz w:val="20"/>
                <w:szCs w:val="20"/>
              </w:rPr>
              <w:t>e-mail</w:t>
            </w:r>
          </w:p>
        </w:tc>
        <w:tc>
          <w:tcPr>
            <w:tcW w:w="37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E480" w14:textId="77777777" w:rsidR="00FF6919" w:rsidRPr="006C3170" w:rsidRDefault="00FF6919" w:rsidP="00A579E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0DA4E35" w14:textId="77777777" w:rsidR="00FF6919" w:rsidRDefault="00FF6919" w:rsidP="009A5C33">
      <w:pPr>
        <w:spacing w:before="240" w:after="240"/>
        <w:jc w:val="center"/>
        <w:rPr>
          <w:b/>
          <w:sz w:val="28"/>
          <w:szCs w:val="28"/>
        </w:rPr>
      </w:pPr>
    </w:p>
    <w:p w14:paraId="31F7309B" w14:textId="77777777" w:rsidR="00D314CC" w:rsidRDefault="00547C62" w:rsidP="009A5C33">
      <w:pPr>
        <w:spacing w:before="240" w:after="240"/>
        <w:jc w:val="center"/>
        <w:rPr>
          <w:b/>
          <w:sz w:val="28"/>
          <w:szCs w:val="28"/>
        </w:rPr>
      </w:pPr>
      <w:r w:rsidRPr="00007547">
        <w:rPr>
          <w:b/>
          <w:sz w:val="28"/>
          <w:szCs w:val="28"/>
        </w:rPr>
        <w:t>Uwagi do wybranych pól wniosku</w:t>
      </w:r>
    </w:p>
    <w:tbl>
      <w:tblPr>
        <w:tblStyle w:val="Tabela-Siatka"/>
        <w:tblW w:w="5370" w:type="pct"/>
        <w:tblInd w:w="-431" w:type="dxa"/>
        <w:tblLook w:val="04A0" w:firstRow="1" w:lastRow="0" w:firstColumn="1" w:lastColumn="0" w:noHBand="0" w:noVBand="1"/>
      </w:tblPr>
      <w:tblGrid>
        <w:gridCol w:w="517"/>
        <w:gridCol w:w="8589"/>
        <w:gridCol w:w="5921"/>
      </w:tblGrid>
      <w:tr w:rsidR="00264210" w:rsidRPr="002D24F7" w14:paraId="3C735202" w14:textId="77777777" w:rsidTr="00062621">
        <w:trPr>
          <w:trHeight w:val="737"/>
        </w:trPr>
        <w:tc>
          <w:tcPr>
            <w:tcW w:w="172" w:type="pct"/>
            <w:shd w:val="clear" w:color="auto" w:fill="F2F2F2" w:themeFill="background1" w:themeFillShade="F2"/>
            <w:vAlign w:val="center"/>
          </w:tcPr>
          <w:p w14:paraId="73106C9E" w14:textId="77777777" w:rsidR="00264210" w:rsidRPr="002D24F7" w:rsidRDefault="00264210" w:rsidP="0041626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858" w:type="pct"/>
            <w:shd w:val="clear" w:color="auto" w:fill="F2F2F2" w:themeFill="background1" w:themeFillShade="F2"/>
            <w:vAlign w:val="center"/>
          </w:tcPr>
          <w:p w14:paraId="5823E015" w14:textId="77777777" w:rsidR="00264210" w:rsidRPr="002D24F7" w:rsidRDefault="00264210" w:rsidP="00264210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Wybrane pole wniosku</w:t>
            </w:r>
          </w:p>
        </w:tc>
        <w:tc>
          <w:tcPr>
            <w:tcW w:w="1970" w:type="pct"/>
            <w:shd w:val="clear" w:color="auto" w:fill="F2F2F2" w:themeFill="background1" w:themeFillShade="F2"/>
            <w:vAlign w:val="center"/>
          </w:tcPr>
          <w:p w14:paraId="73587B0A" w14:textId="77777777" w:rsidR="00264210" w:rsidRPr="002D24F7" w:rsidRDefault="00264210" w:rsidP="00264210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Treść zgłoszonej opinii</w:t>
            </w:r>
          </w:p>
          <w:p w14:paraId="247520AD" w14:textId="77777777" w:rsidR="00264210" w:rsidRPr="002D24F7" w:rsidRDefault="00264210" w:rsidP="00264210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(propozycja zmiany, komentarz)</w:t>
            </w:r>
          </w:p>
        </w:tc>
      </w:tr>
      <w:tr w:rsidR="00264210" w:rsidRPr="002D24F7" w14:paraId="3D97F058" w14:textId="77777777" w:rsidTr="00062621">
        <w:trPr>
          <w:trHeight w:val="737"/>
        </w:trPr>
        <w:tc>
          <w:tcPr>
            <w:tcW w:w="172" w:type="pct"/>
            <w:vAlign w:val="center"/>
          </w:tcPr>
          <w:p w14:paraId="2F1DE34E" w14:textId="77777777" w:rsidR="00264210" w:rsidRPr="002D24F7" w:rsidRDefault="00264210" w:rsidP="0041626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1.</w:t>
            </w:r>
          </w:p>
          <w:p w14:paraId="28A5F33D" w14:textId="77777777" w:rsidR="00264210" w:rsidRPr="002D24F7" w:rsidRDefault="00264210" w:rsidP="00416268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8" w:type="pct"/>
            <w:vAlign w:val="center"/>
          </w:tcPr>
          <w:p w14:paraId="01714514" w14:textId="76DA0681" w:rsidR="00264210" w:rsidRPr="002D24F7" w:rsidRDefault="00264210" w:rsidP="00587487">
            <w:pPr>
              <w:spacing w:after="0" w:line="360" w:lineRule="auto"/>
              <w:outlineLvl w:val="0"/>
              <w:rPr>
                <w:rFonts w:cstheme="minorHAnsi"/>
                <w:i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Nazwa kwalifikacji</w:t>
            </w:r>
            <w:r w:rsidR="00587487" w:rsidRPr="002D24F7">
              <w:rPr>
                <w:rFonts w:cstheme="minorHAnsi"/>
                <w:b/>
                <w:sz w:val="18"/>
                <w:szCs w:val="18"/>
              </w:rPr>
              <w:t>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="00730F0A" w:rsidRPr="002D24F7">
              <w:rPr>
                <w:rFonts w:cstheme="minorHAnsi"/>
                <w:sz w:val="18"/>
                <w:szCs w:val="18"/>
              </w:rPr>
              <w:t>Wspieranie zdolnych i uzdolnionych dzieci oraz młodzieży</w:t>
            </w:r>
          </w:p>
          <w:p w14:paraId="7173C28A" w14:textId="2538852A" w:rsidR="00264210" w:rsidRPr="002D24F7" w:rsidRDefault="00264210" w:rsidP="0041626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Skrót nazwy</w:t>
            </w:r>
            <w:r w:rsidR="00587487" w:rsidRPr="002D24F7">
              <w:rPr>
                <w:rFonts w:cstheme="minorHAnsi"/>
                <w:b/>
                <w:sz w:val="18"/>
                <w:szCs w:val="18"/>
              </w:rPr>
              <w:t>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70" w:type="pct"/>
            <w:vAlign w:val="center"/>
          </w:tcPr>
          <w:p w14:paraId="00FB23C5" w14:textId="77777777" w:rsidR="00264210" w:rsidRPr="002D24F7" w:rsidRDefault="00264210" w:rsidP="00416268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264210" w:rsidRPr="002D24F7" w14:paraId="1C6C5B6E" w14:textId="77777777" w:rsidTr="00062621">
        <w:trPr>
          <w:trHeight w:val="389"/>
        </w:trPr>
        <w:tc>
          <w:tcPr>
            <w:tcW w:w="172" w:type="pct"/>
            <w:vAlign w:val="center"/>
          </w:tcPr>
          <w:p w14:paraId="08EC2728" w14:textId="77777777" w:rsidR="00264210" w:rsidRPr="002D24F7" w:rsidRDefault="00264210" w:rsidP="0041626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858" w:type="pct"/>
            <w:vAlign w:val="center"/>
          </w:tcPr>
          <w:p w14:paraId="66A6D789" w14:textId="62A7AD7F" w:rsidR="00264210" w:rsidRPr="002D24F7" w:rsidRDefault="00587487" w:rsidP="0041626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Proponowany poziom Polskiej Ramy Kwalifikacji:</w:t>
            </w:r>
            <w:r w:rsidR="00480B33" w:rsidRPr="002D24F7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970" w:type="pct"/>
            <w:vAlign w:val="center"/>
          </w:tcPr>
          <w:p w14:paraId="29A790D7" w14:textId="77777777" w:rsidR="00264210" w:rsidRPr="002D24F7" w:rsidRDefault="00264210" w:rsidP="00416268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587487" w:rsidRPr="002D24F7" w14:paraId="16CF723E" w14:textId="77777777" w:rsidTr="00062621">
        <w:trPr>
          <w:trHeight w:val="452"/>
        </w:trPr>
        <w:tc>
          <w:tcPr>
            <w:tcW w:w="172" w:type="pct"/>
            <w:vAlign w:val="center"/>
          </w:tcPr>
          <w:p w14:paraId="03FC3DD7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858" w:type="pct"/>
            <w:vAlign w:val="center"/>
          </w:tcPr>
          <w:p w14:paraId="7EDD2164" w14:textId="4D9D2701" w:rsidR="00587487" w:rsidRPr="002D24F7" w:rsidRDefault="0097663F" w:rsidP="00B65DF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Nazwa Sektorowej Ramy Kwalifikacji:</w:t>
            </w:r>
          </w:p>
        </w:tc>
        <w:tc>
          <w:tcPr>
            <w:tcW w:w="1970" w:type="pct"/>
            <w:vAlign w:val="center"/>
          </w:tcPr>
          <w:p w14:paraId="0456F3B1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587487" w:rsidRPr="002D24F7" w14:paraId="5B094C94" w14:textId="77777777" w:rsidTr="00062621">
        <w:trPr>
          <w:trHeight w:val="502"/>
        </w:trPr>
        <w:tc>
          <w:tcPr>
            <w:tcW w:w="172" w:type="pct"/>
            <w:vAlign w:val="center"/>
          </w:tcPr>
          <w:p w14:paraId="2F5E7D0E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 xml:space="preserve">4. </w:t>
            </w:r>
          </w:p>
        </w:tc>
        <w:tc>
          <w:tcPr>
            <w:tcW w:w="2858" w:type="pct"/>
            <w:vAlign w:val="center"/>
          </w:tcPr>
          <w:p w14:paraId="56F05555" w14:textId="41122C34" w:rsidR="00587487" w:rsidRPr="002D24F7" w:rsidRDefault="0097663F" w:rsidP="00480B33">
            <w:pPr>
              <w:spacing w:before="120" w:after="120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Proponowany poziom Sektorowej Ramy Kwalifikacji:</w:t>
            </w:r>
            <w:r w:rsidR="00480B33" w:rsidRPr="002D24F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70" w:type="pct"/>
            <w:vAlign w:val="center"/>
          </w:tcPr>
          <w:p w14:paraId="5D067026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97663F" w:rsidRPr="002D24F7" w14:paraId="2E70A590" w14:textId="77777777" w:rsidTr="00062621">
        <w:trPr>
          <w:trHeight w:val="737"/>
        </w:trPr>
        <w:tc>
          <w:tcPr>
            <w:tcW w:w="172" w:type="pct"/>
            <w:vAlign w:val="center"/>
          </w:tcPr>
          <w:p w14:paraId="0ECB9D64" w14:textId="77777777" w:rsidR="0097663F" w:rsidRPr="002D24F7" w:rsidRDefault="0097663F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2858" w:type="pct"/>
            <w:vAlign w:val="center"/>
          </w:tcPr>
          <w:p w14:paraId="4622699D" w14:textId="40EFB32E" w:rsidR="0097663F" w:rsidRPr="002D24F7" w:rsidRDefault="0097663F" w:rsidP="002D24F7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Podstawowe informacje o kwalifikacji:</w:t>
            </w:r>
            <w:r w:rsidR="00480B33" w:rsidRPr="002D24F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80B33" w:rsidRPr="002D24F7">
              <w:rPr>
                <w:rFonts w:cstheme="minorHAnsi"/>
                <w:bCs/>
                <w:sz w:val="18"/>
                <w:szCs w:val="18"/>
              </w:rPr>
              <w:t>Osoba posiadająca kwalifikację Wspieranie zdolnych i uzdolnionych dzieci oraz młodzieży jest przygotowana do podjęcia wsparcia zdolnych i uzdolnionych dzieci oraz młodzieży, wymagających od nauczyciela/instruktora/edukatora, opiekuna, pedagoga lub psychologa szczególnych kompetencji edukacyjno-wychowawczych. Posługuje się wiedzą dotyczącą planowania pracy edukacyjno-wychowawczej ze zdolnymi i uzdolnionymi dziećmi oraz młodzieżą oraz planuje jej ewaluację. W pracy ze zdolnymi i uzdolnionymi dziećmi oraz młodzieżą wykorzystuje programy, metody i narzędzia dydaktyczne o różnym poziomie złożoności, elastycznie dostosowując do ich indywidualnych potrzeb i rozwijające zdolności twórcze. Kwalifikacja może być wykorzystywana przez nauczycieli np. w indywidualnym programie czy toku nauczania, nauczycieli uczących na różnych etapach edukacji (od edukacji przedszkolnej aż do edukacji ponadpodstawowej), studentów którzy planują podjęcie pracy dydaktycznej, wychowawców, dyrektorów szkół i kierowników jednostek odpowiedzialnych za kształcenie w zakresie organizacji nauki dla uczniów zdolnych, instruktorów, pedagogów prowadzących edukację nieformalną w klubach osiedlowych, instytucjach edukacji nieformalnej, uniwersytetach dziecięcych, organizacjach non profit itp. Ponadto kwalifikację mogą wykorzystać także psychologowie, coachowie, tutorzy pracujący ze zdolnymi i uzdolnionymi dziećmi oraz młodzieżą. Uzyskaniem kwalifikacji Wspieranie zdolnych i uzdolnionych dzieci oraz młodzieży mogą być zainteresowani nauczyciele (w tym przyszli) wszystkich poziomów nauczania (od przedszkola do studiów wyższych), wychowawcy, dyrektorzy szkół i kierownicy jednostek odpowiedzialni za kształcenie w zakresie organizacji nauki dla uczniów zdolnych i uzdolnionych, pedagodzy prowadzący edukację pozaformalną w klubach osiedlowych, instytucjach edukacji pozaformalnej, uniwersytetach dziecięcych lub organizacjach non profit itp. Ponadto kwalifikacja kierowana jest do psychologów, coachów, tutorów, a także studentów, którzy planują podjęcie pracy dydaktycznej.</w:t>
            </w:r>
          </w:p>
        </w:tc>
        <w:tc>
          <w:tcPr>
            <w:tcW w:w="1970" w:type="pct"/>
            <w:vAlign w:val="center"/>
          </w:tcPr>
          <w:p w14:paraId="313A8E44" w14:textId="77777777" w:rsidR="0097663F" w:rsidRPr="002D24F7" w:rsidRDefault="0097663F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587487" w:rsidRPr="002D24F7" w14:paraId="75D7AAE6" w14:textId="77777777" w:rsidTr="00062621">
        <w:trPr>
          <w:trHeight w:val="517"/>
        </w:trPr>
        <w:tc>
          <w:tcPr>
            <w:tcW w:w="172" w:type="pct"/>
            <w:vAlign w:val="center"/>
          </w:tcPr>
          <w:p w14:paraId="328C5D81" w14:textId="77777777" w:rsidR="00587487" w:rsidRPr="002D24F7" w:rsidRDefault="0097663F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lastRenderedPageBreak/>
              <w:t>6</w:t>
            </w:r>
            <w:r w:rsidR="00587487" w:rsidRPr="002D24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858" w:type="pct"/>
            <w:vAlign w:val="center"/>
          </w:tcPr>
          <w:p w14:paraId="4DEBEFAF" w14:textId="60159500" w:rsidR="0097663F" w:rsidRPr="002D24F7" w:rsidRDefault="0097663F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Objętość kwalifikacji [w godz.]: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="005D5309" w:rsidRPr="002D24F7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1970" w:type="pct"/>
            <w:vAlign w:val="center"/>
          </w:tcPr>
          <w:p w14:paraId="6F56F3E6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587487" w:rsidRPr="002D24F7" w14:paraId="7A041F0F" w14:textId="77777777" w:rsidTr="00062621">
        <w:trPr>
          <w:trHeight w:val="737"/>
        </w:trPr>
        <w:tc>
          <w:tcPr>
            <w:tcW w:w="172" w:type="pct"/>
            <w:vAlign w:val="center"/>
          </w:tcPr>
          <w:p w14:paraId="6DC42C91" w14:textId="77777777" w:rsidR="00587487" w:rsidRPr="002D24F7" w:rsidRDefault="0097663F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7</w:t>
            </w:r>
            <w:r w:rsidR="00587487" w:rsidRPr="002D24F7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858" w:type="pct"/>
            <w:vAlign w:val="center"/>
          </w:tcPr>
          <w:p w14:paraId="19EEAFFD" w14:textId="376DDAA1" w:rsidR="00587487" w:rsidRPr="002D24F7" w:rsidRDefault="0097663F" w:rsidP="005D5309">
            <w:pPr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Syntetyczna charakterystyka efektów uczenia się: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="005D5309" w:rsidRPr="002D24F7">
              <w:rPr>
                <w:rFonts w:cstheme="minorHAnsi"/>
                <w:sz w:val="18"/>
                <w:szCs w:val="18"/>
              </w:rPr>
              <w:t>Osoba posiadająca kwalifikację “Wspieranie zdolnych i uzdolnionych dzieci oraz młodzieży” charakteryzuje pojęcia, teorie, narzędzia i metody edukacyjno- wychowawcze oraz programy edukacyjno- wychowawcze leżące u podstaw pracy edukacyjno-wychowawczej ze zdolnymi i uzdolnionymi dziećmi oraz młodzieżą. Na podstawie diagnozy samodzielnie opracowuje indywidualny plan wsparcia edukacyjno-wychowawczego ze zdolnymi i uzdolnionymi dziećmi oraz młodzieżą oraz projektuje jego ewaluację. Dobiera oraz stosuje metody i narzędzia oraz programy edukacyjno-wychowawcze adekwatnie do indywidualnych potrzeb zdolnych i uzdolnionych dzieci oraz młodzieży.</w:t>
            </w:r>
          </w:p>
        </w:tc>
        <w:tc>
          <w:tcPr>
            <w:tcW w:w="1970" w:type="pct"/>
            <w:vAlign w:val="center"/>
          </w:tcPr>
          <w:p w14:paraId="74E23361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24DA1277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5D032D61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5DF0CD62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587487" w:rsidRPr="002D24F7" w14:paraId="6FF1CFC8" w14:textId="77777777" w:rsidTr="00062621">
        <w:trPr>
          <w:trHeight w:val="737"/>
        </w:trPr>
        <w:tc>
          <w:tcPr>
            <w:tcW w:w="172" w:type="pct"/>
            <w:vAlign w:val="center"/>
          </w:tcPr>
          <w:p w14:paraId="0B288953" w14:textId="77777777" w:rsidR="00587487" w:rsidRPr="002D24F7" w:rsidRDefault="0097663F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8</w:t>
            </w:r>
            <w:r w:rsidR="00587487" w:rsidRPr="002D24F7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858" w:type="pct"/>
            <w:vAlign w:val="center"/>
          </w:tcPr>
          <w:p w14:paraId="2D28E6D5" w14:textId="77777777" w:rsidR="00587487" w:rsidRPr="002D24F7" w:rsidRDefault="0097663F" w:rsidP="0097663F">
            <w:pPr>
              <w:spacing w:before="120" w:after="12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2D24F7">
              <w:rPr>
                <w:rFonts w:cstheme="minorHAnsi"/>
                <w:b/>
                <w:sz w:val="18"/>
                <w:szCs w:val="18"/>
                <w:u w:val="single"/>
              </w:rPr>
              <w:t>Zestaw efektów uczenia się nr 1:</w:t>
            </w:r>
          </w:p>
          <w:p w14:paraId="152C3D44" w14:textId="77777777" w:rsidR="0097663F" w:rsidRPr="002D24F7" w:rsidRDefault="0097663F" w:rsidP="0097663F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Poziom PRK zestawu:</w:t>
            </w:r>
            <w:r w:rsidR="00B65DF6" w:rsidRPr="002D24F7">
              <w:rPr>
                <w:rFonts w:cstheme="minorHAnsi"/>
                <w:sz w:val="18"/>
                <w:szCs w:val="18"/>
              </w:rPr>
              <w:t xml:space="preserve"> 6</w:t>
            </w:r>
          </w:p>
          <w:p w14:paraId="5D3722E8" w14:textId="77777777" w:rsidR="0097663F" w:rsidRPr="002D24F7" w:rsidRDefault="0097663F" w:rsidP="0097663F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Rodzaj:</w:t>
            </w:r>
            <w:r w:rsidRPr="002D24F7">
              <w:rPr>
                <w:rFonts w:cstheme="minorHAnsi"/>
                <w:sz w:val="18"/>
                <w:szCs w:val="18"/>
              </w:rPr>
              <w:t xml:space="preserve"> obowiązkowy  </w:t>
            </w:r>
          </w:p>
          <w:p w14:paraId="274309E1" w14:textId="51A16FC9" w:rsidR="0097663F" w:rsidRPr="002D24F7" w:rsidRDefault="0097663F" w:rsidP="0017762E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Nazwa zestawu</w:t>
            </w:r>
            <w:r w:rsidR="000E3310" w:rsidRPr="002D24F7">
              <w:rPr>
                <w:rFonts w:cstheme="minorHAnsi"/>
                <w:sz w:val="18"/>
                <w:szCs w:val="18"/>
              </w:rPr>
              <w:t xml:space="preserve">: </w:t>
            </w:r>
            <w:r w:rsidR="0017762E" w:rsidRPr="002D24F7">
              <w:rPr>
                <w:rFonts w:cstheme="minorHAnsi"/>
                <w:sz w:val="18"/>
                <w:szCs w:val="18"/>
              </w:rPr>
              <w:t>Posługiwanie się wiedzą dotyczącą planowania pracy edukacyjno-wychowawczej ze zdolnymi i uzdolnionymi dziećmi oraz młodzieżą.</w:t>
            </w:r>
          </w:p>
          <w:p w14:paraId="51DED048" w14:textId="77777777" w:rsidR="0097663F" w:rsidRPr="002D24F7" w:rsidRDefault="0097663F" w:rsidP="0097663F">
            <w:pPr>
              <w:spacing w:before="120" w:after="12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2D24F7">
              <w:rPr>
                <w:rFonts w:cstheme="minorHAnsi"/>
                <w:b/>
                <w:sz w:val="18"/>
                <w:szCs w:val="18"/>
                <w:u w:val="single"/>
              </w:rPr>
              <w:t>Efekty uczenia się</w:t>
            </w:r>
            <w:r w:rsidR="000E3310" w:rsidRPr="002D24F7">
              <w:rPr>
                <w:rFonts w:cstheme="minorHAnsi"/>
                <w:b/>
                <w:sz w:val="18"/>
                <w:szCs w:val="18"/>
                <w:u w:val="single"/>
              </w:rPr>
              <w:t>:</w:t>
            </w:r>
          </w:p>
          <w:p w14:paraId="6BE9484C" w14:textId="77777777" w:rsidR="0097663F" w:rsidRPr="002D24F7" w:rsidRDefault="000E3310" w:rsidP="0097663F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Numer efektu: </w:t>
            </w:r>
            <w:r w:rsidR="0097663F" w:rsidRPr="002D24F7">
              <w:rPr>
                <w:rFonts w:cstheme="minorHAnsi"/>
                <w:sz w:val="18"/>
                <w:szCs w:val="18"/>
              </w:rPr>
              <w:t xml:space="preserve">1  </w:t>
            </w:r>
          </w:p>
          <w:p w14:paraId="6F878C42" w14:textId="4951D66E" w:rsidR="000E3310" w:rsidRPr="002D24F7" w:rsidRDefault="0097663F" w:rsidP="0017762E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Nazwa</w:t>
            </w:r>
            <w:r w:rsidR="000E3310" w:rsidRPr="002D24F7">
              <w:rPr>
                <w:rFonts w:cstheme="minorHAnsi"/>
                <w:b/>
                <w:sz w:val="18"/>
                <w:szCs w:val="18"/>
              </w:rPr>
              <w:t xml:space="preserve"> efektu: </w:t>
            </w:r>
            <w:r w:rsidR="0017762E" w:rsidRPr="002D24F7">
              <w:rPr>
                <w:rFonts w:cstheme="minorHAnsi"/>
                <w:sz w:val="18"/>
                <w:szCs w:val="18"/>
              </w:rPr>
              <w:t>Charakteryzuje narzędzia i metody edukacyjno- wychowawcze oraz programy edukacyjno-wychowawcze stanowiące podstawy do pracy ze zdolnymi i uzdolnionymi dziećmi oraz młodzieżą.</w:t>
            </w:r>
          </w:p>
          <w:p w14:paraId="3E1CBB89" w14:textId="77777777" w:rsidR="000E3310" w:rsidRPr="002D24F7" w:rsidRDefault="000E3310" w:rsidP="000E3310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Kryteria weryfikacji:</w:t>
            </w:r>
          </w:p>
          <w:p w14:paraId="3295E9D2" w14:textId="4D58DA7C" w:rsidR="000E3310" w:rsidRPr="002D24F7" w:rsidRDefault="0017762E" w:rsidP="0017762E">
            <w:pPr>
              <w:pStyle w:val="Akapitzlist"/>
              <w:numPr>
                <w:ilvl w:val="0"/>
                <w:numId w:val="17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omawia cel i treść jednego z wybranych narzędzi dydaktyczno-wychowawczych (np.: Dr RefleksJA”, „Odkrycia. Poznać i zrozumieć siebie” „Cortex”, „Mr-NEMO”, „Lonpos”),</w:t>
            </w:r>
            <w:r w:rsidR="00B65DF6" w:rsidRPr="002D24F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63C4AC3" w14:textId="00BC8832" w:rsidR="00B65DF6" w:rsidRPr="002D24F7" w:rsidRDefault="0017762E" w:rsidP="0017762E">
            <w:pPr>
              <w:pStyle w:val="Akapitzlist"/>
              <w:numPr>
                <w:ilvl w:val="0"/>
                <w:numId w:val="17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omawia cel i treść jednej z metod edukacyjno–wychowawczej (np.: Synektykę W. Gordona, CoRT E.de Bono, model R. Dilsa),</w:t>
            </w:r>
          </w:p>
          <w:p w14:paraId="2E71EBC5" w14:textId="7AD6B9F7" w:rsidR="0017762E" w:rsidRPr="002D24F7" w:rsidRDefault="0017762E" w:rsidP="0017762E">
            <w:pPr>
              <w:pStyle w:val="Akapitzlist"/>
              <w:numPr>
                <w:ilvl w:val="0"/>
                <w:numId w:val="17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omawia cel i treść jednego z programów edukacyjno-wychowawczych (np.: Odyseję Umysłu, Zwolnieni z kucia, dr Percepcja),</w:t>
            </w:r>
          </w:p>
          <w:p w14:paraId="69309830" w14:textId="6C02EBBC" w:rsidR="0017762E" w:rsidRPr="002D24F7" w:rsidRDefault="003B0533" w:rsidP="003B0533">
            <w:pPr>
              <w:pStyle w:val="Akapitzlist"/>
              <w:numPr>
                <w:ilvl w:val="0"/>
                <w:numId w:val="17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Omawia cel i treść jednego z ćwiczeń kształcących umiejętności poznawcze (np. zdolność abstrahowania, dokonywania skojarzeń, rozumowania dedukcyjnego, indukcyjnego, metaforyzowania, transformowania).</w:t>
            </w:r>
          </w:p>
          <w:p w14:paraId="6CAE5159" w14:textId="77777777" w:rsidR="0017762E" w:rsidRPr="002D24F7" w:rsidRDefault="0017762E" w:rsidP="0017762E">
            <w:pPr>
              <w:pStyle w:val="Akapitzlist"/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120CE612" w14:textId="77777777" w:rsidR="000E3310" w:rsidRPr="002D24F7" w:rsidRDefault="000E3310" w:rsidP="000E331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lastRenderedPageBreak/>
              <w:t>Numer efektu:</w:t>
            </w:r>
            <w:r w:rsidRPr="002D24F7">
              <w:rPr>
                <w:rFonts w:cstheme="minorHAnsi"/>
                <w:sz w:val="18"/>
                <w:szCs w:val="18"/>
              </w:rPr>
              <w:t xml:space="preserve"> 2  </w:t>
            </w:r>
          </w:p>
          <w:p w14:paraId="13E3021B" w14:textId="5F17FDEF" w:rsidR="000E3310" w:rsidRPr="002D24F7" w:rsidRDefault="000E3310" w:rsidP="003B053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Nazwa efektu: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="003B0533" w:rsidRPr="002D24F7">
              <w:rPr>
                <w:rFonts w:cstheme="minorHAnsi"/>
                <w:sz w:val="18"/>
                <w:szCs w:val="18"/>
              </w:rPr>
              <w:t>Charakteryzuje pojęcia i teorie stanowiące podstawy do pracy edukacyjno-wychowawczej ze zdolnymi i uzdolnionymi dziećmi oraz młodzieżą.</w:t>
            </w:r>
          </w:p>
          <w:p w14:paraId="06D476D1" w14:textId="77777777" w:rsidR="000E3310" w:rsidRPr="002D24F7" w:rsidRDefault="000E3310" w:rsidP="000E3310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Kryteria weryfikacji:</w:t>
            </w:r>
          </w:p>
          <w:p w14:paraId="439605CC" w14:textId="5CA515CF" w:rsidR="00B65DF6" w:rsidRPr="002D24F7" w:rsidRDefault="003B0533" w:rsidP="003B0533">
            <w:pPr>
              <w:pStyle w:val="Akapitzlist"/>
              <w:numPr>
                <w:ilvl w:val="0"/>
                <w:numId w:val="18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definiuje wybrane pojęcia w obszarze zdolności spośród: zdolność, zdolność specjalna, uzdolnienie, talent, geniusz,</w:t>
            </w:r>
          </w:p>
          <w:p w14:paraId="4A5E6174" w14:textId="2CB0F419" w:rsidR="003B0533" w:rsidRPr="002D24F7" w:rsidRDefault="003B0533" w:rsidP="003B0533">
            <w:pPr>
              <w:pStyle w:val="Akapitzlist"/>
              <w:numPr>
                <w:ilvl w:val="0"/>
                <w:numId w:val="18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definiuje wybrane pojęcia w obszarze psychologii twórczości spośród: kreatywność, twórczość, postawa twórcza, nonkonformizm,</w:t>
            </w:r>
          </w:p>
          <w:p w14:paraId="25917FE7" w14:textId="3C62A3D9" w:rsidR="003B0533" w:rsidRPr="002D24F7" w:rsidRDefault="003B0533" w:rsidP="003B0533">
            <w:pPr>
              <w:pStyle w:val="Akapitzlist"/>
              <w:numPr>
                <w:ilvl w:val="0"/>
                <w:numId w:val="18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definiuje wybrane pojęcia w obszarze umiejętności poznawczych spośród: myślenie spośród: heurystyczne, algorytmiczne, latentne, dywergencyjne, konwergencyjne, umiejętności poznawcze, plastyczność mózgu,</w:t>
            </w:r>
          </w:p>
          <w:p w14:paraId="0F5339AD" w14:textId="6CA14519" w:rsidR="003B0533" w:rsidRPr="002D24F7" w:rsidRDefault="003B0533" w:rsidP="003B0533">
            <w:pPr>
              <w:pStyle w:val="Akapitzlist"/>
              <w:numPr>
                <w:ilvl w:val="0"/>
                <w:numId w:val="18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definiuje wybrane pojęcia w obszarze motywacji spośród: motywacja wewnętrzna, motywacja zewnętrzna, pozytywne motywowanie, informacja zwrotna,</w:t>
            </w:r>
          </w:p>
          <w:p w14:paraId="41651A49" w14:textId="6675EE9A" w:rsidR="003B0533" w:rsidRPr="002D24F7" w:rsidRDefault="003B0533" w:rsidP="003B0533">
            <w:pPr>
              <w:pStyle w:val="Akapitzlist"/>
              <w:numPr>
                <w:ilvl w:val="0"/>
                <w:numId w:val="18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definiuje wybrane pojęcia w obszarze technik i nauk zajmujących się kształceniem umiejętności poznawczych i pamięci spośród: neurodydaktyka, kognitywistyka, mnemotechniki,</w:t>
            </w:r>
          </w:p>
          <w:p w14:paraId="65E9D731" w14:textId="03DFA4DF" w:rsidR="003B0533" w:rsidRPr="002D24F7" w:rsidRDefault="003B0533" w:rsidP="003B0533">
            <w:pPr>
              <w:pStyle w:val="Akapitzlist"/>
              <w:numPr>
                <w:ilvl w:val="0"/>
                <w:numId w:val="18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wymienia koncepcje twórczości takie jak: systemowa teoria twórczości M. Csikszentmihalyia, postawy twórczej S.Popka, model R.Diltsa i charakteryzuje jedną z nich,</w:t>
            </w:r>
          </w:p>
          <w:p w14:paraId="58841A1D" w14:textId="4E93B5F9" w:rsidR="003B0533" w:rsidRPr="002D24F7" w:rsidRDefault="003B0533" w:rsidP="003B0533">
            <w:pPr>
              <w:pStyle w:val="Akapitzlist"/>
              <w:numPr>
                <w:ilvl w:val="0"/>
                <w:numId w:val="18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wskazuje po dwa elementy charakteryzujące funkcjonowanie osoby zdolnej lub uzdolnionej w sferze poznawczej, emocjonalnej, osobowościowej, społecznej,</w:t>
            </w:r>
          </w:p>
          <w:p w14:paraId="7E0D85CB" w14:textId="3C5330FA" w:rsidR="00B30582" w:rsidRPr="002D24F7" w:rsidRDefault="003B0533" w:rsidP="003B0533">
            <w:pPr>
              <w:pStyle w:val="Akapitzlist"/>
              <w:numPr>
                <w:ilvl w:val="0"/>
                <w:numId w:val="18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charakteryzuje jedną wybraną metodę i technikę ewaluacji.</w:t>
            </w:r>
          </w:p>
        </w:tc>
        <w:tc>
          <w:tcPr>
            <w:tcW w:w="1970" w:type="pct"/>
            <w:vAlign w:val="center"/>
          </w:tcPr>
          <w:p w14:paraId="67D2CB42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1CCC8F66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6EA60F86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73AE6EDA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05DFA60C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0E3310" w:rsidRPr="002D24F7" w14:paraId="07806265" w14:textId="77777777" w:rsidTr="00062621">
        <w:trPr>
          <w:trHeight w:val="737"/>
        </w:trPr>
        <w:tc>
          <w:tcPr>
            <w:tcW w:w="172" w:type="pct"/>
            <w:vAlign w:val="center"/>
          </w:tcPr>
          <w:p w14:paraId="2ABD190E" w14:textId="77777777" w:rsidR="000E3310" w:rsidRPr="002D24F7" w:rsidRDefault="000E3310" w:rsidP="000E331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2858" w:type="pct"/>
            <w:vAlign w:val="center"/>
          </w:tcPr>
          <w:p w14:paraId="3376E90E" w14:textId="77777777" w:rsidR="000E3310" w:rsidRPr="002D24F7" w:rsidRDefault="000E3310" w:rsidP="000E3310">
            <w:pPr>
              <w:spacing w:before="120" w:after="12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2D24F7">
              <w:rPr>
                <w:rFonts w:cstheme="minorHAnsi"/>
                <w:b/>
                <w:sz w:val="18"/>
                <w:szCs w:val="18"/>
                <w:u w:val="single"/>
              </w:rPr>
              <w:t>Zestaw efektów uczenia się nr 2:</w:t>
            </w:r>
          </w:p>
          <w:p w14:paraId="73D7960D" w14:textId="77777777" w:rsidR="000E3310" w:rsidRPr="002D24F7" w:rsidRDefault="000E3310" w:rsidP="000E331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Poziom PRK zestawu:</w:t>
            </w:r>
            <w:r w:rsidRPr="002D24F7">
              <w:rPr>
                <w:rFonts w:cstheme="minorHAnsi"/>
                <w:sz w:val="18"/>
                <w:szCs w:val="18"/>
              </w:rPr>
              <w:t xml:space="preserve"> 6</w:t>
            </w:r>
          </w:p>
          <w:p w14:paraId="30A45401" w14:textId="77777777" w:rsidR="000E3310" w:rsidRPr="002D24F7" w:rsidRDefault="000E3310" w:rsidP="000E331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Rodzaj:</w:t>
            </w:r>
            <w:r w:rsidRPr="002D24F7">
              <w:rPr>
                <w:rFonts w:cstheme="minorHAnsi"/>
                <w:sz w:val="18"/>
                <w:szCs w:val="18"/>
              </w:rPr>
              <w:t xml:space="preserve"> obowiązkowy  </w:t>
            </w:r>
          </w:p>
          <w:p w14:paraId="2B3777C4" w14:textId="59DD0801" w:rsidR="000E3310" w:rsidRPr="002D24F7" w:rsidRDefault="000E3310" w:rsidP="000E331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Nazwa zestawu</w:t>
            </w:r>
            <w:r w:rsidRPr="002D24F7">
              <w:rPr>
                <w:rFonts w:cstheme="minorHAnsi"/>
                <w:sz w:val="18"/>
                <w:szCs w:val="18"/>
              </w:rPr>
              <w:t xml:space="preserve">: </w:t>
            </w:r>
            <w:r w:rsidR="003B0533" w:rsidRPr="002D24F7">
              <w:rPr>
                <w:rFonts w:cstheme="minorHAnsi"/>
                <w:sz w:val="18"/>
                <w:szCs w:val="18"/>
              </w:rPr>
              <w:t xml:space="preserve">Planowanie wsparcia edukacyjno-wychowawczego ze zdolnymi i  </w:t>
            </w:r>
            <w:r w:rsidR="00CA27A0">
              <w:rPr>
                <w:rFonts w:cstheme="minorHAnsi"/>
                <w:sz w:val="18"/>
                <w:szCs w:val="18"/>
              </w:rPr>
              <w:t>u</w:t>
            </w:r>
            <w:r w:rsidR="003B0533" w:rsidRPr="002D24F7">
              <w:rPr>
                <w:rFonts w:cstheme="minorHAnsi"/>
                <w:sz w:val="18"/>
                <w:szCs w:val="18"/>
              </w:rPr>
              <w:t>zdolnionymi dziećmi i młodzieżą oraz jego ewaluacji.</w:t>
            </w:r>
          </w:p>
          <w:p w14:paraId="09FA6609" w14:textId="77777777" w:rsidR="000E3310" w:rsidRPr="002D24F7" w:rsidRDefault="000E3310" w:rsidP="000E3310">
            <w:pPr>
              <w:spacing w:before="120" w:after="12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2D24F7">
              <w:rPr>
                <w:rFonts w:cstheme="minorHAnsi"/>
                <w:b/>
                <w:sz w:val="18"/>
                <w:szCs w:val="18"/>
                <w:u w:val="single"/>
              </w:rPr>
              <w:t>Efekty uczenia się:</w:t>
            </w:r>
          </w:p>
          <w:p w14:paraId="662913DA" w14:textId="77777777" w:rsidR="000E3310" w:rsidRPr="002D24F7" w:rsidRDefault="000E3310" w:rsidP="000E331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Numer efektu: </w:t>
            </w:r>
            <w:r w:rsidRPr="002D24F7">
              <w:rPr>
                <w:rFonts w:cstheme="minorHAnsi"/>
                <w:sz w:val="18"/>
                <w:szCs w:val="18"/>
              </w:rPr>
              <w:t xml:space="preserve">1  </w:t>
            </w:r>
          </w:p>
          <w:p w14:paraId="50EB6EF5" w14:textId="1430C9C8" w:rsidR="000E3310" w:rsidRPr="002D24F7" w:rsidRDefault="000E3310" w:rsidP="003B053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Nazwa efektu: </w:t>
            </w:r>
            <w:r w:rsidR="003B0533" w:rsidRPr="002D24F7">
              <w:rPr>
                <w:rFonts w:cstheme="minorHAnsi"/>
                <w:sz w:val="18"/>
                <w:szCs w:val="18"/>
              </w:rPr>
              <w:t>Dobiera metody i techniki ewaluacji pracy edukacyjno-wychowawczej ze zdolnymi i uzdolnionymi dziećmi oraz młodzieżą.</w:t>
            </w:r>
          </w:p>
          <w:p w14:paraId="730C81E5" w14:textId="77777777" w:rsidR="000E3310" w:rsidRPr="002D24F7" w:rsidRDefault="000E3310" w:rsidP="000E3310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Kryteria weryfikacji:</w:t>
            </w:r>
          </w:p>
          <w:p w14:paraId="11E9B4C5" w14:textId="09DF623E" w:rsidR="0085429A" w:rsidRPr="002D24F7" w:rsidRDefault="003B0533" w:rsidP="003B0533">
            <w:pPr>
              <w:pStyle w:val="Akapitzlist"/>
              <w:numPr>
                <w:ilvl w:val="0"/>
                <w:numId w:val="19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lastRenderedPageBreak/>
              <w:t>wskazuje i uzasadnia wybór jednej z metod ewaluacji biorąc pod uwagę indywidualny plan pracy edukacyjno-wychowawczej ze zdolnymi i uzdolnionymi dziećmi oraz młodzieżą (np.: obserwację uczestniczącą, autoewaluację, wywiad),</w:t>
            </w:r>
          </w:p>
          <w:p w14:paraId="00D7DA07" w14:textId="1124BC33" w:rsidR="003B0533" w:rsidRPr="002D24F7" w:rsidRDefault="003B0533" w:rsidP="003B0533">
            <w:pPr>
              <w:pStyle w:val="Akapitzlist"/>
              <w:numPr>
                <w:ilvl w:val="0"/>
                <w:numId w:val="19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dobiera jedną z technik ewaluacji (np.: techniki ewaluacji jakościowe, techniki ewaluacji ilościowe), uwzględniając indywidualny plan pracy edukacyjno-wychowawczej ze zdolnymi i uzdolnionymi dziećmi oraz młodzieżą.</w:t>
            </w:r>
          </w:p>
          <w:p w14:paraId="4DC8AF06" w14:textId="77777777" w:rsidR="000E3310" w:rsidRPr="002D24F7" w:rsidRDefault="000E3310" w:rsidP="000E331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Numer efektu:</w:t>
            </w:r>
            <w:r w:rsidRPr="002D24F7">
              <w:rPr>
                <w:rFonts w:cstheme="minorHAnsi"/>
                <w:sz w:val="18"/>
                <w:szCs w:val="18"/>
              </w:rPr>
              <w:t xml:space="preserve"> 2  </w:t>
            </w:r>
          </w:p>
          <w:p w14:paraId="26EF61A2" w14:textId="1E078676" w:rsidR="000E3310" w:rsidRPr="002D24F7" w:rsidRDefault="000E3310" w:rsidP="007122FA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Nazwa efektu: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="007122FA" w:rsidRPr="002D24F7">
              <w:rPr>
                <w:rFonts w:cstheme="minorHAnsi"/>
                <w:sz w:val="18"/>
                <w:szCs w:val="18"/>
              </w:rPr>
              <w:t>Opracowuje indywidualny plan wsparcia edukacyjno-wychowawczego ze zdolnymi i uzdolnionymi dziećmi oraz młodzieżą.</w:t>
            </w:r>
          </w:p>
          <w:p w14:paraId="48813F45" w14:textId="77777777" w:rsidR="000E3310" w:rsidRPr="002D24F7" w:rsidRDefault="000E3310" w:rsidP="000E3310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Kryteria weryfikacji:</w:t>
            </w:r>
          </w:p>
          <w:p w14:paraId="2165157B" w14:textId="1F6646A7" w:rsidR="0085429A" w:rsidRPr="002D24F7" w:rsidRDefault="0085429A" w:rsidP="007122FA">
            <w:pPr>
              <w:pStyle w:val="Akapitzlist"/>
              <w:numPr>
                <w:ilvl w:val="0"/>
                <w:numId w:val="20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w</w:t>
            </w:r>
            <w:r w:rsidR="007122FA" w:rsidRPr="002D24F7">
              <w:rPr>
                <w:rFonts w:cstheme="minorHAnsi"/>
                <w:sz w:val="18"/>
                <w:szCs w:val="18"/>
              </w:rPr>
              <w:t>skazuje dwa główne cele pracy edukacyjno-wychowawczej do umieszczenia w indywidualnym planie pracy ze zdolnym lub uzdolnionym, bazując na wynikach podjętych działań przygotowawczych,</w:t>
            </w:r>
          </w:p>
          <w:p w14:paraId="78A233F7" w14:textId="4E04DD55" w:rsidR="007122FA" w:rsidRPr="002D24F7" w:rsidRDefault="007122FA" w:rsidP="007122FA">
            <w:pPr>
              <w:pStyle w:val="Akapitzlist"/>
              <w:numPr>
                <w:ilvl w:val="0"/>
                <w:numId w:val="20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dobiera dwa narzędzia edukacyjno-wychowawcze do realizacji wyszczególnionych dwóch celów pracy edukacyjno-wychowawczej w obszarze funkcjonowania emocjonalnego lub osobowościowego lub poznawczego lub społecznego.</w:t>
            </w:r>
          </w:p>
          <w:p w14:paraId="62A13FD2" w14:textId="77777777" w:rsidR="00F57323" w:rsidRPr="002D24F7" w:rsidRDefault="00F57323" w:rsidP="00F5732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Numer efektu:</w:t>
            </w:r>
            <w:r w:rsidRPr="002D24F7">
              <w:rPr>
                <w:rFonts w:cstheme="minorHAnsi"/>
                <w:sz w:val="18"/>
                <w:szCs w:val="18"/>
              </w:rPr>
              <w:t xml:space="preserve"> 3  </w:t>
            </w:r>
          </w:p>
          <w:p w14:paraId="5F1A5426" w14:textId="6545CE05" w:rsidR="00F57323" w:rsidRPr="002D24F7" w:rsidRDefault="00F57323" w:rsidP="007122FA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Nazwa efektu: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="007122FA" w:rsidRPr="002D24F7">
              <w:rPr>
                <w:rFonts w:cstheme="minorHAnsi"/>
                <w:sz w:val="18"/>
                <w:szCs w:val="18"/>
              </w:rPr>
              <w:t>Podejmuje działania przygotowawcze do opracowania indywidualnego planu edukacyjno-wychowawczego pracy ze zdolnymi i uzdolnionymi dziećmi oraz młodzieżą.</w:t>
            </w:r>
          </w:p>
          <w:p w14:paraId="101B0F1F" w14:textId="77777777" w:rsidR="00F57323" w:rsidRPr="002D24F7" w:rsidRDefault="00F57323" w:rsidP="00F57323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Kryteria weryfikacji:</w:t>
            </w:r>
          </w:p>
          <w:p w14:paraId="00EDFEB0" w14:textId="0A6C3465" w:rsidR="0085429A" w:rsidRPr="002D24F7" w:rsidRDefault="007122FA" w:rsidP="007122FA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na podstawie informacji z diagnozy psychologicznej precyzuje i wskazuje po jednym elemencie funkcjonowania zdolnego lub uzdolnionego z obszarów: emocjonalnego, osobowościowego, poznawczego, społecznego, które wymagają stymulacji edukacyjnej i wychowawczej,</w:t>
            </w:r>
          </w:p>
          <w:p w14:paraId="74EDA28A" w14:textId="1BF5BF9C" w:rsidR="007122FA" w:rsidRPr="002D24F7" w:rsidRDefault="00583843" w:rsidP="007122FA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wskazuje trzy pytania otwarte do wywiadu ze zdolnym lub uzdolnionym,</w:t>
            </w:r>
          </w:p>
          <w:p w14:paraId="4E66D5D5" w14:textId="7FA5DD16" w:rsidR="00B30582" w:rsidRPr="002D24F7" w:rsidRDefault="00583843" w:rsidP="00583843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formułuje trzy pytania otwarte do wywiadu z rodzicami lub opiekunami prawnymi na temat indywidualnych potrzeb edukacyjno-wychowawczych dzieci i młodzieży.</w:t>
            </w:r>
          </w:p>
        </w:tc>
        <w:tc>
          <w:tcPr>
            <w:tcW w:w="1970" w:type="pct"/>
            <w:vAlign w:val="center"/>
          </w:tcPr>
          <w:p w14:paraId="5A2639B3" w14:textId="77777777" w:rsidR="000E3310" w:rsidRPr="002D24F7" w:rsidRDefault="000E3310" w:rsidP="000E3310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F57323" w:rsidRPr="002D24F7" w14:paraId="6D3ED06B" w14:textId="77777777" w:rsidTr="00062621">
        <w:trPr>
          <w:trHeight w:val="737"/>
        </w:trPr>
        <w:tc>
          <w:tcPr>
            <w:tcW w:w="172" w:type="pct"/>
            <w:vAlign w:val="center"/>
          </w:tcPr>
          <w:p w14:paraId="634B726A" w14:textId="77777777" w:rsidR="00F57323" w:rsidRPr="002D24F7" w:rsidRDefault="00F57323" w:rsidP="00F5732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2858" w:type="pct"/>
            <w:vAlign w:val="center"/>
          </w:tcPr>
          <w:p w14:paraId="60712F69" w14:textId="77777777" w:rsidR="00F57323" w:rsidRPr="002D24F7" w:rsidRDefault="00F57323" w:rsidP="00F57323">
            <w:pPr>
              <w:spacing w:before="120" w:after="12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2D24F7">
              <w:rPr>
                <w:rFonts w:cstheme="minorHAnsi"/>
                <w:b/>
                <w:sz w:val="18"/>
                <w:szCs w:val="18"/>
                <w:u w:val="single"/>
              </w:rPr>
              <w:t>Zestaw efektów uczenia się nr 3:</w:t>
            </w:r>
          </w:p>
          <w:p w14:paraId="7134C65A" w14:textId="77777777" w:rsidR="00F57323" w:rsidRPr="002D24F7" w:rsidRDefault="00F57323" w:rsidP="00F5732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Poziom PRK zestawu:</w:t>
            </w:r>
            <w:r w:rsidRPr="002D24F7">
              <w:rPr>
                <w:rFonts w:cstheme="minorHAnsi"/>
                <w:sz w:val="18"/>
                <w:szCs w:val="18"/>
              </w:rPr>
              <w:t xml:space="preserve"> 6</w:t>
            </w:r>
          </w:p>
          <w:p w14:paraId="10AA6A87" w14:textId="77777777" w:rsidR="00F57323" w:rsidRPr="002D24F7" w:rsidRDefault="00F57323" w:rsidP="00F5732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Rodzaj:</w:t>
            </w:r>
            <w:r w:rsidRPr="002D24F7">
              <w:rPr>
                <w:rFonts w:cstheme="minorHAnsi"/>
                <w:sz w:val="18"/>
                <w:szCs w:val="18"/>
              </w:rPr>
              <w:t xml:space="preserve"> obowiązkowy  </w:t>
            </w:r>
          </w:p>
          <w:p w14:paraId="74C56C05" w14:textId="67D3CBC2" w:rsidR="00F57323" w:rsidRPr="002D24F7" w:rsidRDefault="00F57323" w:rsidP="0058384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lastRenderedPageBreak/>
              <w:t>Nazwa zestawu</w:t>
            </w:r>
            <w:r w:rsidRPr="002D24F7">
              <w:rPr>
                <w:rFonts w:cstheme="minorHAnsi"/>
                <w:sz w:val="18"/>
                <w:szCs w:val="18"/>
              </w:rPr>
              <w:t xml:space="preserve">: </w:t>
            </w:r>
            <w:r w:rsidR="00583843" w:rsidRPr="002D24F7">
              <w:rPr>
                <w:rFonts w:cstheme="minorHAnsi"/>
                <w:sz w:val="18"/>
                <w:szCs w:val="18"/>
              </w:rPr>
              <w:t>Posługiwanie się narzędziami edukacyjno-wychowawczymi dostosowanymi do indywidualnych potrzeb zdolnych i uzdolnionych dzieci oraz młodzież.</w:t>
            </w:r>
          </w:p>
          <w:p w14:paraId="54CDF7BF" w14:textId="77777777" w:rsidR="00F57323" w:rsidRPr="002D24F7" w:rsidRDefault="00F57323" w:rsidP="00F57323">
            <w:pPr>
              <w:spacing w:before="120" w:after="12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2D24F7">
              <w:rPr>
                <w:rFonts w:cstheme="minorHAnsi"/>
                <w:b/>
                <w:sz w:val="18"/>
                <w:szCs w:val="18"/>
                <w:u w:val="single"/>
              </w:rPr>
              <w:t>Efekty uczenia się:</w:t>
            </w:r>
          </w:p>
          <w:p w14:paraId="7CA64502" w14:textId="77777777" w:rsidR="00F57323" w:rsidRPr="002D24F7" w:rsidRDefault="00F57323" w:rsidP="00F5732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Numer efektu: </w:t>
            </w:r>
            <w:r w:rsidRPr="002D24F7">
              <w:rPr>
                <w:rFonts w:cstheme="minorHAnsi"/>
                <w:sz w:val="18"/>
                <w:szCs w:val="18"/>
              </w:rPr>
              <w:t xml:space="preserve">1  </w:t>
            </w:r>
          </w:p>
          <w:p w14:paraId="44B0E8B0" w14:textId="77777777" w:rsidR="00583843" w:rsidRPr="002D24F7" w:rsidRDefault="00F57323" w:rsidP="0058384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Nazwa efektu: </w:t>
            </w:r>
            <w:r w:rsidR="00583843" w:rsidRPr="002D24F7">
              <w:rPr>
                <w:rFonts w:cstheme="minorHAnsi"/>
                <w:sz w:val="18"/>
                <w:szCs w:val="18"/>
              </w:rPr>
              <w:t>Dopasowuje metody i narzędzia oraz programy edukacyjno-wychowawcze do</w:t>
            </w:r>
          </w:p>
          <w:p w14:paraId="11B249C7" w14:textId="51DB6F6B" w:rsidR="00F57323" w:rsidRPr="002D24F7" w:rsidRDefault="00583843" w:rsidP="0058384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indywidualnych potrzeb zdolnych i uzdolnionych dzieci oraz młodzieży.</w:t>
            </w:r>
          </w:p>
          <w:p w14:paraId="7FC50811" w14:textId="77777777" w:rsidR="00F57323" w:rsidRPr="002D24F7" w:rsidRDefault="00F57323" w:rsidP="00F57323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Kryteria weryfikacji:</w:t>
            </w:r>
          </w:p>
          <w:p w14:paraId="00918EA4" w14:textId="4D856724" w:rsidR="00062621" w:rsidRPr="002D24F7" w:rsidRDefault="00583843" w:rsidP="00583843">
            <w:pPr>
              <w:pStyle w:val="Akapitzlist"/>
              <w:numPr>
                <w:ilvl w:val="0"/>
                <w:numId w:val="23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dobiera jedno narzędzie lub metodę lub program edukacyjno-wychowawczy do indywidualnych potrzeb zdolnego lub uzdolnionego dziecka lub młodzieży oraz jego wieku,</w:t>
            </w:r>
          </w:p>
          <w:p w14:paraId="07048B1D" w14:textId="3333945D" w:rsidR="00583843" w:rsidRPr="002D24F7" w:rsidRDefault="00583843" w:rsidP="00583843">
            <w:pPr>
              <w:pStyle w:val="Akapitzlist"/>
              <w:numPr>
                <w:ilvl w:val="0"/>
                <w:numId w:val="23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omawia jeden główny cel i treść narzędzia lub metody lub programu edukacyjno-wychowawczego (bazując na dokonanym wyborze narzędzia, metody lub programu),</w:t>
            </w:r>
          </w:p>
          <w:p w14:paraId="5895E707" w14:textId="25838C15" w:rsidR="00B30582" w:rsidRPr="002D24F7" w:rsidRDefault="00B30582" w:rsidP="00583843">
            <w:pPr>
              <w:pStyle w:val="Akapitzlist"/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09CCDCC6" w14:textId="77777777" w:rsidR="00F57323" w:rsidRPr="002D24F7" w:rsidRDefault="00F57323" w:rsidP="00B30582">
            <w:pPr>
              <w:pStyle w:val="Akapitzlist"/>
              <w:spacing w:before="120" w:after="120"/>
              <w:ind w:left="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Numer efektu:</w:t>
            </w:r>
            <w:r w:rsidRPr="002D24F7">
              <w:rPr>
                <w:rFonts w:cstheme="minorHAnsi"/>
                <w:sz w:val="18"/>
                <w:szCs w:val="18"/>
              </w:rPr>
              <w:t xml:space="preserve"> 2  </w:t>
            </w:r>
          </w:p>
          <w:p w14:paraId="133E5A9E" w14:textId="1921583E" w:rsidR="00F57323" w:rsidRPr="002D24F7" w:rsidRDefault="00F57323" w:rsidP="0058384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Nazwa efektu: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="00583843" w:rsidRPr="002D24F7">
              <w:rPr>
                <w:rFonts w:cstheme="minorHAnsi"/>
                <w:sz w:val="18"/>
                <w:szCs w:val="18"/>
              </w:rPr>
              <w:t>Stosuje metody i narzędzia oraz programy edukacyjno-wychowawcze w pracy ze zdolnymi i uzdolnionymi dziećmi oraz młodzieżą</w:t>
            </w:r>
          </w:p>
          <w:p w14:paraId="5A272C33" w14:textId="77777777" w:rsidR="00F57323" w:rsidRPr="002D24F7" w:rsidRDefault="00F57323" w:rsidP="00F57323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Kryteria weryfikacji:</w:t>
            </w:r>
          </w:p>
          <w:p w14:paraId="7F2F324A" w14:textId="0B4C89FF" w:rsidR="00062621" w:rsidRPr="002D24F7" w:rsidRDefault="00583843" w:rsidP="00583843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prezentuje przeprowadzenie jednego ćwiczenia edukacyjno-wychowawczego (nawiązującego do wybranego narzędzia, metody lub programu edukacyjno-wychowawczego),</w:t>
            </w:r>
          </w:p>
          <w:p w14:paraId="2110013E" w14:textId="1088EA0C" w:rsidR="00062621" w:rsidRPr="002D24F7" w:rsidRDefault="00583843" w:rsidP="00583843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formułuje jeden wniosek z pracy z zaprezentowanym ćwiczeniem edukacyjno-wychowawczym.</w:t>
            </w:r>
          </w:p>
        </w:tc>
        <w:tc>
          <w:tcPr>
            <w:tcW w:w="1970" w:type="pct"/>
            <w:vAlign w:val="center"/>
          </w:tcPr>
          <w:p w14:paraId="7E0C7C6A" w14:textId="77777777" w:rsidR="00F57323" w:rsidRPr="002D24F7" w:rsidRDefault="00F57323" w:rsidP="00F57323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400DE6FE" w14:textId="77777777" w:rsidR="00F57323" w:rsidRPr="002D24F7" w:rsidRDefault="00F57323" w:rsidP="00F57323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70637B1B" w14:textId="77777777" w:rsidR="00F57323" w:rsidRPr="002D24F7" w:rsidRDefault="00F57323" w:rsidP="00F57323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3376BD09" w14:textId="77777777" w:rsidR="00F57323" w:rsidRPr="002D24F7" w:rsidRDefault="00F57323" w:rsidP="00F57323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785180" w:rsidRPr="002D24F7" w14:paraId="1F3EDBC7" w14:textId="77777777" w:rsidTr="00062621">
        <w:trPr>
          <w:trHeight w:val="397"/>
        </w:trPr>
        <w:tc>
          <w:tcPr>
            <w:tcW w:w="172" w:type="pct"/>
            <w:vAlign w:val="center"/>
          </w:tcPr>
          <w:p w14:paraId="1DCE8405" w14:textId="77777777" w:rsidR="00785180" w:rsidRPr="002D24F7" w:rsidRDefault="00062621" w:rsidP="007851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11</w:t>
            </w:r>
            <w:r w:rsidR="00160529" w:rsidRPr="002D24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858" w:type="pct"/>
            <w:vAlign w:val="center"/>
          </w:tcPr>
          <w:p w14:paraId="16AB8411" w14:textId="3AD71C26" w:rsidR="00785180" w:rsidRPr="002D24F7" w:rsidRDefault="00160529" w:rsidP="00062621">
            <w:pPr>
              <w:spacing w:before="120" w:after="120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Warunki, jakie musi spełniać osoba przystępująca do walidacji: </w:t>
            </w:r>
            <w:r w:rsidR="00583843" w:rsidRPr="002D24F7">
              <w:rPr>
                <w:rFonts w:cstheme="minorHAnsi"/>
                <w:sz w:val="18"/>
                <w:szCs w:val="18"/>
              </w:rPr>
              <w:t>Świadectwo dojrzałości</w:t>
            </w:r>
          </w:p>
        </w:tc>
        <w:tc>
          <w:tcPr>
            <w:tcW w:w="1970" w:type="pct"/>
            <w:vAlign w:val="center"/>
          </w:tcPr>
          <w:p w14:paraId="4CF64842" w14:textId="77777777" w:rsidR="00785180" w:rsidRPr="002D24F7" w:rsidRDefault="00785180" w:rsidP="00785180">
            <w:pPr>
              <w:spacing w:before="120" w:after="120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785180" w:rsidRPr="002D24F7" w14:paraId="5096EDC3" w14:textId="77777777" w:rsidTr="00062621">
        <w:trPr>
          <w:trHeight w:val="397"/>
        </w:trPr>
        <w:tc>
          <w:tcPr>
            <w:tcW w:w="172" w:type="pct"/>
            <w:vAlign w:val="center"/>
          </w:tcPr>
          <w:p w14:paraId="498225ED" w14:textId="77777777" w:rsidR="00785180" w:rsidRPr="002D24F7" w:rsidRDefault="00B30582" w:rsidP="007851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12</w:t>
            </w:r>
            <w:r w:rsidR="00160529" w:rsidRPr="002D24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858" w:type="pct"/>
            <w:vAlign w:val="center"/>
          </w:tcPr>
          <w:p w14:paraId="20F5DDA0" w14:textId="77777777" w:rsidR="00785180" w:rsidRPr="002D24F7" w:rsidRDefault="00160529" w:rsidP="00785180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Ramowe wymagania dotyczące walidacji, w tym:</w:t>
            </w:r>
          </w:p>
          <w:p w14:paraId="13440584" w14:textId="77777777" w:rsidR="00062621" w:rsidRPr="002D24F7" w:rsidRDefault="00160529" w:rsidP="00160529">
            <w:pPr>
              <w:pStyle w:val="Akapitzlist"/>
              <w:numPr>
                <w:ilvl w:val="0"/>
                <w:numId w:val="32"/>
              </w:numPr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wymagania dotyczące metod przeprowadzania walidacji: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C383534" w14:textId="46EEA24D" w:rsidR="00583843" w:rsidRPr="002D24F7" w:rsidRDefault="00583843" w:rsidP="00583843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W weryfikacji efektów uczenia się stosuje się następujące metody: a) test teoretyczny, b) obserwacja w warunkach symulowanych (symulacja), c) wywiad swobodny lub ustrukturyzowany (rozmowa z komisją), d)analiza dowodów i deklaracji.</w:t>
            </w:r>
          </w:p>
          <w:p w14:paraId="0FA6001C" w14:textId="61D5C0D2" w:rsidR="00583843" w:rsidRPr="002D24F7" w:rsidRDefault="00583843" w:rsidP="00583843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Weryfikacja składa się z dwóch części: teoretycznej oraz praktycznej. W części teoretycznej wykorzystuje się metodę testu teoretycznego. W części praktycznej możliwe jest wykorzystanie następujących metod: obserwacji w warunkach symulowanych, wywiadu swobodnego lub ustrukturyzowanego (rozmowa z komisją), analizy dowodów i deklaracji.</w:t>
            </w:r>
          </w:p>
          <w:p w14:paraId="43C96A01" w14:textId="77777777" w:rsidR="00583843" w:rsidRPr="002D24F7" w:rsidRDefault="00583843" w:rsidP="00583843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</w:p>
          <w:p w14:paraId="616FDCD3" w14:textId="77777777" w:rsidR="00583843" w:rsidRPr="002D24F7" w:rsidRDefault="00583843" w:rsidP="00583843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</w:p>
          <w:p w14:paraId="51DABEF7" w14:textId="77777777" w:rsidR="00583843" w:rsidRPr="002D24F7" w:rsidRDefault="00583843" w:rsidP="00583843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</w:p>
          <w:p w14:paraId="1A8A5BF6" w14:textId="77777777" w:rsidR="00062621" w:rsidRPr="002D24F7" w:rsidRDefault="00160529" w:rsidP="00062621">
            <w:pPr>
              <w:pStyle w:val="Akapitzlist"/>
              <w:numPr>
                <w:ilvl w:val="0"/>
                <w:numId w:val="32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wymagania dotyczące osób przeprowadzających walidację: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A2CB186" w14:textId="77777777" w:rsidR="00583843" w:rsidRPr="002D24F7" w:rsidRDefault="00583843" w:rsidP="00583843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 xml:space="preserve">W procesie weryfikacji biorą udział: </w:t>
            </w:r>
          </w:p>
          <w:p w14:paraId="495C535E" w14:textId="77777777" w:rsidR="00583843" w:rsidRPr="002D24F7" w:rsidRDefault="00583843" w:rsidP="00583843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 xml:space="preserve">a) w przypadku, gdy test teoretyczny przeprowadzany jest w elektronicznym systemie, operator systemu egzaminacyjnego, który nadzoruje przebieg testu; </w:t>
            </w:r>
          </w:p>
          <w:p w14:paraId="4096A285" w14:textId="77777777" w:rsidR="00583843" w:rsidRPr="002D24F7" w:rsidRDefault="00583843" w:rsidP="00583843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 xml:space="preserve">b) w przypadku, gdy test przeprowadzany jest poza systemem elektronicznym należy zapewnić nadzór nad prawidłowym przebiegiem tej części walidacji. </w:t>
            </w:r>
          </w:p>
          <w:p w14:paraId="73ED5A25" w14:textId="77777777" w:rsidR="00583843" w:rsidRPr="002D24F7" w:rsidRDefault="00583843" w:rsidP="00583843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 xml:space="preserve">Komisja walidacyjna, składająca się z minimum 2 asesorów, która przeprowadza część praktyczną weryfikacji. Osoba będąca asesorem może być jednocześnie operatorem systemu egzaminacyjnego i osobą nadzorującą przebieg testu teoretycznego prowadzonego poza systemem elektronicznym. </w:t>
            </w:r>
          </w:p>
          <w:p w14:paraId="18D02F00" w14:textId="77777777" w:rsidR="00583843" w:rsidRPr="002D24F7" w:rsidRDefault="00583843" w:rsidP="00583843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 xml:space="preserve">Operator systemu egzaminacyjnego musi posiadać: </w:t>
            </w:r>
          </w:p>
          <w:p w14:paraId="13056A82" w14:textId="77777777" w:rsidR="00583843" w:rsidRPr="002D24F7" w:rsidRDefault="00583843" w:rsidP="00583843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 xml:space="preserve">a) wykształcenie minimum średnie, </w:t>
            </w:r>
          </w:p>
          <w:p w14:paraId="0BFB7655" w14:textId="77777777" w:rsidR="00583843" w:rsidRPr="002D24F7" w:rsidRDefault="00583843" w:rsidP="00583843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 xml:space="preserve">b) znajomość obsługi komputera w zakresie uruchamiania oraz podstawowej obsługi systemu i zainstalowanych aplikacji, </w:t>
            </w:r>
          </w:p>
          <w:p w14:paraId="17E83687" w14:textId="77777777" w:rsidR="00583843" w:rsidRPr="002D24F7" w:rsidRDefault="00583843" w:rsidP="00583843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 xml:space="preserve">c) umiejętność rozwiązywania problemów w sytuacji trudności z nawiązaniem lub zanikiem połączenia internetowego lub obsługą przeglądarki w zakresie kompatybilności z platformą egzaminacyjną. </w:t>
            </w:r>
          </w:p>
          <w:p w14:paraId="685F7B2D" w14:textId="77777777" w:rsidR="00583843" w:rsidRPr="002D24F7" w:rsidRDefault="00583843" w:rsidP="00583843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 xml:space="preserve">Weryfikację efektów uczenia się w części praktycznej prowadzi komisja walidacyjna. Każdy członek komisji walidacyjnej powinien: </w:t>
            </w:r>
          </w:p>
          <w:p w14:paraId="57E7A54F" w14:textId="77777777" w:rsidR="00583843" w:rsidRPr="002D24F7" w:rsidRDefault="00583843" w:rsidP="00583843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 xml:space="preserve">a) posiadać wykształcenie wyższe kierunkowe psychologiczne lub pedagogiczne lub kognitywistyczne - lub wykształcenie wyższe oraz przygotowanie pedagogiczne; </w:t>
            </w:r>
          </w:p>
          <w:p w14:paraId="26B3207B" w14:textId="35A91D77" w:rsidR="009378D0" w:rsidRPr="002D24F7" w:rsidRDefault="00583843" w:rsidP="00583843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b) posiadać udokumentowane doświadczenie: - co najmniej 120 godzin prowadzenia zajęć w zakresie: uczenia się lub szybkiego zapamiętywania lub szybkiego czytania lub neurodydaktyki lub kognitywistyki lub tutoringu lub kreatywnego myślenia lub stosowania narzędzi i metod edukacyjno-wychowawczych w procesie kształcenia lub kształcenia zdolności poznawczych lub twórczych lub w obszarze psychologii twórczości lub psychologii poznawczej w okresie ostatnich 5 lat; - lub doświadczenie w pracy ze zdolną lub uzdolnioną dziećmi lub młodzieżą w okresie ostatnich 5 lat.</w:t>
            </w:r>
          </w:p>
          <w:p w14:paraId="1E328C53" w14:textId="77777777" w:rsidR="00583843" w:rsidRPr="002D24F7" w:rsidRDefault="00583843" w:rsidP="00583843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</w:p>
          <w:p w14:paraId="24C34EAE" w14:textId="77777777" w:rsidR="009378D0" w:rsidRPr="002D24F7" w:rsidRDefault="00160529" w:rsidP="009378D0">
            <w:pPr>
              <w:pStyle w:val="Akapitzlist"/>
              <w:numPr>
                <w:ilvl w:val="0"/>
                <w:numId w:val="32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wymagania dotyczące warunków organizacyjnych i materialnych niezbędnych do prawidłowego i bezpiecznego przeprowadzania walidacji: </w:t>
            </w:r>
          </w:p>
          <w:p w14:paraId="4C46243D" w14:textId="19EDF55B" w:rsidR="00583843" w:rsidRPr="002D24F7" w:rsidRDefault="00583843" w:rsidP="00583843">
            <w:pPr>
              <w:pStyle w:val="Akapitzlist"/>
              <w:spacing w:before="120" w:after="120"/>
              <w:ind w:left="714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a) w przypadku, gdy test teoretyczny przeprowadzany jest w elektronicznym systemie stanowisko komputerowe dla kandydata ubiegającego się o uzyskanie kwalifikacji (jedno stanowisko dla jednego kandydata), wyposażone w przeglądarkę internetową</w:t>
            </w:r>
          </w:p>
          <w:p w14:paraId="34FE4879" w14:textId="77777777" w:rsidR="00583843" w:rsidRPr="002D24F7" w:rsidRDefault="00583843" w:rsidP="00583843">
            <w:pPr>
              <w:pStyle w:val="Akapitzlist"/>
              <w:spacing w:before="120" w:after="120"/>
              <w:ind w:left="714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lastRenderedPageBreak/>
              <w:t xml:space="preserve">z dostępem do internetu oraz stolik i krzesła; </w:t>
            </w:r>
          </w:p>
          <w:p w14:paraId="61ECD4C3" w14:textId="77777777" w:rsidR="00583843" w:rsidRPr="002D24F7" w:rsidRDefault="00583843" w:rsidP="00583843">
            <w:pPr>
              <w:pStyle w:val="Akapitzlist"/>
              <w:spacing w:before="120" w:after="120"/>
              <w:ind w:left="714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 xml:space="preserve">b) w przypadku, gdy test teoretyczny jest przeprowadzany poza systemem elektronicznym - arkusz testu oraz miejsce pozwalające na jego samodzielne wypełnienie. </w:t>
            </w:r>
          </w:p>
          <w:p w14:paraId="05DA3549" w14:textId="77777777" w:rsidR="00583843" w:rsidRPr="002D24F7" w:rsidRDefault="00583843" w:rsidP="00583843">
            <w:pPr>
              <w:pStyle w:val="Akapitzlist"/>
              <w:spacing w:before="120" w:after="120"/>
              <w:ind w:left="714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 xml:space="preserve">Do przeprowadzania praktycznej części walidacji należy zapewnić: </w:t>
            </w:r>
          </w:p>
          <w:p w14:paraId="2F47F524" w14:textId="77777777" w:rsidR="00583843" w:rsidRPr="002D24F7" w:rsidRDefault="00583843" w:rsidP="00583843">
            <w:pPr>
              <w:pStyle w:val="Akapitzlist"/>
              <w:spacing w:before="120" w:after="120"/>
              <w:ind w:left="714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 xml:space="preserve">- Salę wyposażoną w stolik i krzesła </w:t>
            </w:r>
          </w:p>
          <w:p w14:paraId="6AADEAC5" w14:textId="3EA35D19" w:rsidR="009378D0" w:rsidRPr="002D24F7" w:rsidRDefault="00583843" w:rsidP="005945D9">
            <w:pPr>
              <w:pStyle w:val="Akapitzlist"/>
              <w:spacing w:before="120" w:after="120"/>
              <w:ind w:left="714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- Przykłady diagnoz psychologiczno-pedagogicznych dla</w:t>
            </w:r>
            <w:r w:rsidR="005945D9"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>różnych grup wiekowych. Weryfikacja kryterium „prezentuje przeprowadzenie jednego ćwiczenia edukacyjno-wychowawczego</w:t>
            </w:r>
            <w:r w:rsidR="005945D9"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>(nawiązującego do wybranego narzędzia, metody lub programu edukacyjno-wychowawczego)” może odbywać się zarówno w</w:t>
            </w:r>
            <w:r w:rsidR="005945D9"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>Sali egzaminacyjnej metodą obserwacji w warunkach symulowanych, jak i poprzez próbkę pracy własnej w postaci nagrania</w:t>
            </w:r>
            <w:r w:rsidR="005945D9"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>video. Prezentowane ćwiczenie edukacyjno</w:t>
            </w:r>
            <w:r w:rsidR="005945D9" w:rsidRPr="002D24F7">
              <w:rPr>
                <w:rFonts w:cstheme="minorHAnsi"/>
                <w:sz w:val="18"/>
                <w:szCs w:val="18"/>
              </w:rPr>
              <w:t>-</w:t>
            </w:r>
            <w:r w:rsidRPr="002D24F7">
              <w:rPr>
                <w:rFonts w:cstheme="minorHAnsi"/>
                <w:sz w:val="18"/>
                <w:szCs w:val="18"/>
              </w:rPr>
              <w:t>wychowawcze nie powinno przekraczać 30 minut.</w:t>
            </w:r>
          </w:p>
          <w:p w14:paraId="20B995BD" w14:textId="77777777" w:rsidR="00160529" w:rsidRPr="002D24F7" w:rsidRDefault="00160529" w:rsidP="009378D0">
            <w:pPr>
              <w:pStyle w:val="Akapitzlist"/>
              <w:spacing w:before="120" w:after="120"/>
              <w:ind w:left="714"/>
              <w:contextualSpacing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AB23C45" w14:textId="77777777" w:rsidR="00160529" w:rsidRPr="002D24F7" w:rsidRDefault="00160529" w:rsidP="009378D0">
            <w:pPr>
              <w:pStyle w:val="Akapitzlist"/>
              <w:numPr>
                <w:ilvl w:val="0"/>
                <w:numId w:val="32"/>
              </w:numPr>
              <w:spacing w:before="120" w:after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ewentualnie dodatkowe informacje na temat ramowych wymagań dotyczących walidacji: </w:t>
            </w:r>
          </w:p>
          <w:p w14:paraId="2E77BDA0" w14:textId="4CFC0129" w:rsidR="009378D0" w:rsidRPr="002D24F7" w:rsidRDefault="005945D9" w:rsidP="009378D0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Nie dotyczy</w:t>
            </w:r>
          </w:p>
        </w:tc>
        <w:tc>
          <w:tcPr>
            <w:tcW w:w="1970" w:type="pct"/>
            <w:vAlign w:val="center"/>
          </w:tcPr>
          <w:p w14:paraId="42B26344" w14:textId="77777777" w:rsidR="00785180" w:rsidRPr="002D24F7" w:rsidRDefault="00785180" w:rsidP="00785180">
            <w:pPr>
              <w:spacing w:before="120" w:after="120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160529" w:rsidRPr="002D24F7" w14:paraId="42925787" w14:textId="77777777" w:rsidTr="00062621">
        <w:trPr>
          <w:trHeight w:val="397"/>
        </w:trPr>
        <w:tc>
          <w:tcPr>
            <w:tcW w:w="172" w:type="pct"/>
            <w:vAlign w:val="center"/>
          </w:tcPr>
          <w:p w14:paraId="492C254F" w14:textId="77777777" w:rsidR="00160529" w:rsidRPr="002D24F7" w:rsidRDefault="00B30582" w:rsidP="007851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lastRenderedPageBreak/>
              <w:t>13</w:t>
            </w:r>
            <w:r w:rsidR="00160529" w:rsidRPr="002D24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858" w:type="pct"/>
            <w:vAlign w:val="center"/>
          </w:tcPr>
          <w:p w14:paraId="3DA02EE0" w14:textId="77777777" w:rsidR="009378D0" w:rsidRPr="002D24F7" w:rsidRDefault="00160529" w:rsidP="00784ED6">
            <w:pPr>
              <w:spacing w:before="120" w:after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Zgodność kwalifikacji wolnorynkowej z potrzebami społecznymi lub rynku pracy, poparta danymi wynikającymi z analizy potrzeb rynku pracy i grup osób, do których dana kwalifikacja w szczególności jest kierowana:</w:t>
            </w:r>
          </w:p>
          <w:p w14:paraId="39D202C5" w14:textId="77777777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Kraje europejskie należące do Unii Europejskiej szczególne znaczenie przywiązują do rozwoju zdolności, uzdolnień i talentów.</w:t>
            </w:r>
          </w:p>
          <w:p w14:paraId="48C120AC" w14:textId="77777777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Świadczą o tym polityki edukacyjne poszczególnych państw dotyczące wspierania rozwoju dzieci i młodzieży zdolnej, jak również</w:t>
            </w:r>
          </w:p>
          <w:p w14:paraId="340F4FE9" w14:textId="77777777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najważniejsze rozwiązania w tym zakresie wprowadzone do szkół podstawowych i średnich (poziomy ISCED F-2013 -</w:t>
            </w:r>
          </w:p>
          <w:p w14:paraId="2F319A8B" w14:textId="77777777" w:rsidR="00CA27A0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Międzynarodowa Standardowa Klasyfikacja Edukacji) w całej Europie. Finansowanie uzdolnień wspierają środki Unii Europejskiej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dostępne w Programie Wiedza Edukacja Rozwój, czy w Regionalnych Programach Operacyjnych w ramach Europejskiego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Systemu Społecznego. Celem tych działań jest poprawa funkcjonowania i zwiększenie wykorzystania systemu wspomagania szkół w zakresie kompetencji kluczowych uczniów niezbędnych do poruszania się na rynku pracy (ICT, matematyczno-przyrodniczych,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języków obcych), nauczania eksperymentalnego, postaw (kreatywności, innowacyjności, pracy zespołowej) oraz metod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zindywidualizowanego podejścia do ucznia. Na rozwój uzdolnień zwraca się uwagę także w polityce edukacyjnej krajowej m.in. w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Zintegrowanej Strategii Umiejętności 2030. Zgodnie z jej treścią “Współczesna gospodarka coraz bardziej potrzebuje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zaawansowanych technologii i innowacji. Dlatego rozwój gospodarki w następnych latach w dużym stopniu zależeć będzie od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podaży kreatywnych, wysoko wykwalifikowanych kadr. W tym kontekście kluczowe dla rozwoju gospodarczego jest wspieranie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rozwoju umiejętności osób szczególnie uzdolnionych. Dostrzeganie i otaczanie odpowiednią opieką takich osób powinno być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jednym z priorytetów edukacji formalnej i pozaformalnej.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Należy też rozwijać specjalne programy wsparcia osób wybitnie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utalentowanych w różnych dziedzinach. Efektywne wspieranie rozwoju umiejętności osób zdolnych jest kluczowe w wymiarze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krajowej polityki społeczno-gospodarczej, w tym zwłaszcza w sektorze B+R. Gospodarki krajów wysoko rozwiniętych oparte są na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rosnącym zasobie dobrze wykształconych ludzi, zdolnych do twórczego myślenia i działania.” W tym kontekście zaplanowano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następujące działania wspierające rozwój osób zdolnych i uzdolnionych: Obszar oddziaływania I UMIEJĘTNOŚCI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PODSTAWOWE, PRZEKROJOWE I ZAWODOWE DZIECI, MŁODZIEŻY I OSÓB DOROSŁYCH, Temat działania 2.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Upowszechnianie istniejących oraz opracowanie i wdrażanie nowych rozwiązań na rzecz rozwoju umiejętności podstawowych i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przekrojowych oraz zawodowych dzieci, młodzieży i osób dorosłych, działania: - wspieranie umiejętności osób zdolnych w kierunku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pełnego wykorzystania ich talentów, które nie jest możliwe w standardowych formach pracy szkolnej -wspieranie środowiska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 xml:space="preserve">rodzinnego uczniów zdolnych w zakresie rozwijania ich umiejętności i talentów. </w:t>
            </w:r>
          </w:p>
          <w:p w14:paraId="4AFC29B0" w14:textId="77777777" w:rsidR="00CA27A0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[1] Rozwój kompetencji dzieci i młodzieży zdolnej i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uzdolnionej wspiera również rozwijający się krajowy system finansowania rozwoju uzdolnień w Polsce. Powstają programy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stypendialne dla uczniów zdolnych w różnych województwach finansowane ze środków samorządu terytorialnego, np. „Lubelskie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wspiera uzdolnionych 2021-2023″</w:t>
            </w:r>
          </w:p>
          <w:p w14:paraId="1861AB6D" w14:textId="77777777" w:rsidR="00CA27A0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[2]. Program zakłada przyznanie w roku szkolnym 2021/2022 – 578 stypendiów najzdolniejszym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uczniom. Przykładem może być też szósta edycja programu „Śląskie. Inwestujemy w talenty 2021/2022”</w:t>
            </w:r>
          </w:p>
          <w:p w14:paraId="1B6F7B09" w14:textId="77777777" w:rsidR="00CA27A0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[3]. Prowadzone są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również programy ogólnokrajowe np. Program Pomocy Wybitnie Zdolnym organizowany przez Krajowy Fundusz na Rzecz Dzieci.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Każdego roku Krajowy Fundusz na rzecz Dzieci obejmuje opieką ponad 500 młodych ludzi – od uczniów ostatnich klas szkół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 xml:space="preserve">podstawowych do maturzystów. Uczestnicy Programu ZDOLNI są wybierani spośród ok. 1200 uczniów z całej Polski </w:t>
            </w:r>
          </w:p>
          <w:p w14:paraId="70D3377D" w14:textId="3685DD52" w:rsidR="00CA27A0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[4]. Zdolności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i uzdolnienia odgrywają znaczącą rolę w rozwoju społecznym i gospodarczym krajów. Coraz częściej w analizach dotyczących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innowacyjności biznesu podkreśla się konieczność wczesnego wsparcia zdolności i uzdolnień uczniów tak, by po osiągnięciu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zdolności do pracy stali się oni innowatorami przedsiębiorstw. Firmy, które wprowadzają innowacje są zdecydowanie bardziej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rentowne od tych, które takich działań nie podejmują. Jednocześnie wzrost ich dochodów pozytywnie oddziałuje na poziom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zamożności obywateli, jakość ich życia oraz dostępność nowych produktów i usług. Innowacyjna gospodarka daje więcej szans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rozwojowych młodym ludziom oraz hamuje odpływ wysoko wykwalifikowanej kadry. Dziś w wielu ogłoszeniach o pracę,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pracodawcy wśród kandydatów na dane stanowisko poszukują jednostek zdolnych i uzdolnionych. Rynek niejako został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zintensyfikowany poprzez wzmożoną międzynarodową konkurencję gospodarczą, która doprowadziła do swoistej „wojny o talent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czy o zdolnych”. Przedsiębiorstwa postrzegają swoją przyszłą konkurencyjność jako zależną od niewielkiej liczby wysoce zdolnych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i uzdolnionych osób. Dzisiejsi uzdolnieni uczniowie to jutrzejsi społeczni, intelektualni liderzy gospodarki i kultury, a ich rozwój nie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 xml:space="preserve">może być pozostawiony przypadkowi </w:t>
            </w:r>
          </w:p>
          <w:p w14:paraId="27465B13" w14:textId="77777777" w:rsidR="00CA27A0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[5]. Jednocześnie, wyniki międzynarodowego badania osiągnięć czwartoklasistów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sprawdzające poziom wiedzy i rozumowania uczniów w zakresie matematyki i nauk przyrodniczych TIMSS (Trends in International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Mathematics and Science Study, czyli Międzynarodowe Badanie Wyników Nauczania Matematyki i Nauk Przyrodniczych, które jest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koordynowane przez Międzynarodowe Stowarzyszenie Mierzenia Osiągnięć Szkolnych – IEA z siedzibą w Amsterdamie)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wskazuje, że Polscy uczniowie IV klas szkoły podstawowej dobrze wypadli w pomiarze osiągnięć przyrodniczych (16. miejsce). Ich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wynik nie różni się istotnie od wyniku 9 krajów i regionów m.in. Szwecji, Anglii, Czech, Hongkongu czy Irlandii. W części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matematycznej badania najwyższe wyniki osiągnęli uczniowie z Singapuru, Hongkongu i Korei Południowej, a Polscy uczniowie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zajęli 26 miejsce na 58 krajów. Porównując wyniki można jednak zauważyć, że polscy uczniowie z IV klas uzyskali wynik niższy od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 xml:space="preserve">swoich rówieśników badanych 5 lat wcześniej </w:t>
            </w:r>
          </w:p>
          <w:p w14:paraId="4814A732" w14:textId="77777777" w:rsidR="00CA27A0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[6]. Instytucjonalny, publiczny system wsparcia uczniów zdolnych w Polsce, który w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2010 roku został określony jako dość ubogi i niewystarczający na podstawie dokumentu „Pomoc państwa i instytucji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pozarządowych dla dzieci zdolnych”</w:t>
            </w:r>
          </w:p>
          <w:p w14:paraId="3E3D2A79" w14:textId="24F95E99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[7] wydany przez Kancelarię Senatu, Biuro Analiz i Dokumentacji, Dział Analiz i Opracowań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Tematycznych, zmienia się i przynosi coraz lepsze efekty. Według wskazanego raportu, na tamten czas, brakowało programów i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specjalistów potrafiących pracować z uczniem zdolnym i wspierających rozwój uzdolnień. Od tego czasu podjęto też działania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zmierzające do wsparcia uczniów zdolnych. Powołano placówki i specjalne ośrodki kształcące uczniów zdolnych na przykład: Sieci</w:t>
            </w:r>
          </w:p>
          <w:p w14:paraId="4B933B19" w14:textId="77777777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„Szkół Odkrywców Talentów” (SOT) i „Miejsca Odkrywania Talentów” (MOT), które powstały w ramach projektu „Opracowanie i</w:t>
            </w:r>
          </w:p>
          <w:p w14:paraId="6A4F116F" w14:textId="77777777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wdrożenie kompleksowego systemu pracy z uczniem zdolnym”. Aktywnie działa od 1983 roku Krajowy Fundusz na Rzecz Dzieci</w:t>
            </w:r>
          </w:p>
          <w:p w14:paraId="765CC9FB" w14:textId="77777777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wspierający uczniów zdolnych [8]. O tym, że system edukacji dzieci ze specjalnymi potrzebami edukacyjnymi do których zaliczane</w:t>
            </w:r>
          </w:p>
          <w:p w14:paraId="346352BF" w14:textId="77777777" w:rsidR="00CA27A0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są także dzieci zdolne i uzdolnione wymaga wciąż doskonalenia świadczą wyniki Najwyższej Izby Kontroli o nowym podejściu do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 xml:space="preserve">indywidualizacji nauczania dzieci z 2020 roku </w:t>
            </w:r>
          </w:p>
          <w:p w14:paraId="638FE02B" w14:textId="2C646C16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[8]. Zgodnie z zaleceniem NIK dyrektorzy powinni wspierać nauczycieli w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identyfikacji potrzeb uczniów zdolnych oraz tych którzy tworzą własne programy nauczania będące odpowiedzią na specjalne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potrzeby edukacyjne uczniów. Natomiast organy prowadzące szkół powinny zapewnić finansowanie indywidualizacji kształcenia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uczniów o specjalnych potrzebach edukacyjnych w formach i wymiarze godzinowym wynikających z orzeczeń i opinii wydawanych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przez poradnie psychologiczno-pedagogiczne oraz diagnozy przeprowadzonej w szkole. Natomiast Minister Edukacji Narodowej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powinien kontynuować działania promujące formy indywidualizacji kształcenia uczniów ze specjalnymi potrzebami edukacyjnymi</w:t>
            </w:r>
          </w:p>
          <w:p w14:paraId="29059D0B" w14:textId="77777777" w:rsidR="00CA27A0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[9]. Kluczowe znaczenie dla rozwoju uczniów szczególnie zdolnych i uzdolnionych ma zatrudnianie w szkołach nauczycieli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będących najlepszymi specjalistami w swoich dziedzinach. Rekomendację taką zawiera raport z badania elementów systemu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pracy z uczniem zdolnym przygotowany na zamówienie Ministerstwa Edukacji Narodowej dla projektu pt. „Opracowanie i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 xml:space="preserve">wdrożenie kompleksowego systemu pracy z uczniem zdolnym” </w:t>
            </w:r>
          </w:p>
          <w:p w14:paraId="774F1F8C" w14:textId="77777777" w:rsidR="00CA27A0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[9]. Pozyskiwanie kadry pedagogicznej przygotowanej do pracy z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uczniami zdolnymi, jest jak wynika z raportu bardzo żmudne. W przebadanych szkołach nie zidentyfikowano takich, w których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pedagodzy byliby podzieleni na zespoły do pracy z uczniami zdolnymi. Dyrektorzy (jak i nauczyciele) zgodnie podkreślają brak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takich podziałów. Każdy z nauczycieli raczej pracuje w ramach swojego przedmiotu i stara się identyfikować uzdolnionych uczniów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i motywować ich do pracy. Nauczyciele pracujący z uzdolnioną młodzieżą mają świadomość konieczności stałego podnoszenia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kompetencji zawodowych (wiedzy przedmiotowej, przygotowania do pracy z uczniami oraz umiejętności), ale oferta rynkowa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 xml:space="preserve">szkoleń przeznaczonych dla nauczycieli uczniów zdolnych jest niewystarczająca </w:t>
            </w:r>
          </w:p>
          <w:p w14:paraId="110DAB50" w14:textId="5F0C381D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[10]. Zebrane i przedstawione powyżej informacje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potwierdzają zasadność oraz użyteczność poznawczą, edukacyjną i społeczną przygotowania oferty kwalifikacji szkoleniowej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„Wspieranie zdolnych i uzdolnionych dzieci oraz młodzieży”.</w:t>
            </w:r>
          </w:p>
          <w:p w14:paraId="2FFF729B" w14:textId="72D1A904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[1] Zintegrowana Strategia Umiejętności 2030. Część szczegółowa. https://www.gov.pl/web/edukacja-i-nauka/zintegrowanastrategia-umiejetnosci-2030-czesc-szczegolowa--dokument-przyjety-przez-rade-ministrow (Dostęp 10.07.2022)</w:t>
            </w:r>
          </w:p>
          <w:p w14:paraId="24686357" w14:textId="77777777" w:rsidR="00160529" w:rsidRPr="002D24F7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lastRenderedPageBreak/>
              <w:t xml:space="preserve">[2]http://www.lubelskie.pl/kultura/stypendia/stypendia-uczniowskie/lubelskie-wspiera-uzdolnionych/ (Dostęp 27.11.2021). </w:t>
            </w:r>
          </w:p>
          <w:p w14:paraId="105EC10B" w14:textId="7BA23F9A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[3] Śląskie. Inwestujemy w talenty VI edycja https://efs-stypendia.slaskie.pl/content/ogloszenie-o-naborze-wnioskow-o-przyznaniestypendium-w-ramach-projektu--slaskie-inwestujemy-w-talenty---vi-edycja---ii-nabor--w-rokuszkolnym-20212022 (Dostęp29.11.2021).</w:t>
            </w:r>
          </w:p>
          <w:p w14:paraId="1E2087B5" w14:textId="77777777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[4] http://fundusz.org/jak-dzialamy/ (Dostęp 27.11.2021).</w:t>
            </w:r>
          </w:p>
          <w:p w14:paraId="495309BB" w14:textId="2D5446D4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[5] Mgr Marcin Gierczyk, Diagnoza i ewaluacja rozwiązań systemowych w zakresie kształcenia uczniów zdolnych na przykładzie</w:t>
            </w:r>
            <w:r w:rsidR="00CA27A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bCs/>
                <w:sz w:val="18"/>
                <w:szCs w:val="18"/>
              </w:rPr>
              <w:t>Polski i Anglii. Studium komparatystyczne, Katowice 2016 https://sbc.org.pl/Content/254370/doktorat3773.pdf (Dostęp 27.11.2021).</w:t>
            </w:r>
          </w:p>
          <w:p w14:paraId="11A9229A" w14:textId="77777777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[6] TIMSS 2019. Wyniki międzynarodowego badania osiągnięć czwartoklasistów w matematyce i przyrodzie, IBE 2019</w:t>
            </w:r>
          </w:p>
          <w:p w14:paraId="20A1355B" w14:textId="77777777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https://timss.ibe.edu.pl › uploads › 2020/12 › TIMS...(Dostęp 29.11.2021).</w:t>
            </w:r>
          </w:p>
          <w:p w14:paraId="63889B81" w14:textId="77777777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[7] Pomoc państwa i instytucji pozarządowych dla dzieci zdolnych,</w:t>
            </w:r>
          </w:p>
          <w:p w14:paraId="0AC28D97" w14:textId="77777777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https://www.senat.gov.pl/gfx/senat/pl/senatopracowania/89/plik/ot-577.pdf (Dostęp 29.11.2021).</w:t>
            </w:r>
          </w:p>
          <w:p w14:paraId="64BE98A5" w14:textId="77777777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[8] Krajowy Fundusz na Rzecz Dzieci https://fundusz.org/ (Dostęp 29.11.2021).</w:t>
            </w:r>
          </w:p>
          <w:p w14:paraId="7EF2D405" w14:textId="77777777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[9] NIK o nowym podejściu do indywidualizacji nauczania dzieci https://www.nik.gov.pl/aktualnosci/indywidualizacja-nauczaniadzieci.</w:t>
            </w:r>
          </w:p>
          <w:p w14:paraId="44BCBB1A" w14:textId="77777777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html (Dostęp 29.11.2021).</w:t>
            </w:r>
          </w:p>
          <w:p w14:paraId="1762B4E1" w14:textId="77777777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[10] Badanie elementów systemu pracy z uczniem zdolnym. Raport z badania IDI http://bc.ore.edu.pl/dlibra/docmetadata?</w:t>
            </w:r>
          </w:p>
          <w:p w14:paraId="7498AD72" w14:textId="40C1ECD0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Cs/>
                <w:sz w:val="18"/>
                <w:szCs w:val="18"/>
              </w:rPr>
              <w:t>id=462&amp;from=pubindex&amp;dirids=1&amp;lp=168 (Dostęp 29.11.2021).</w:t>
            </w:r>
          </w:p>
        </w:tc>
        <w:tc>
          <w:tcPr>
            <w:tcW w:w="1970" w:type="pct"/>
            <w:vAlign w:val="center"/>
          </w:tcPr>
          <w:p w14:paraId="2042ED32" w14:textId="77777777" w:rsidR="00160529" w:rsidRPr="002D24F7" w:rsidRDefault="00160529" w:rsidP="00785180">
            <w:pPr>
              <w:spacing w:before="120" w:after="120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160529" w:rsidRPr="002D24F7" w14:paraId="7057A942" w14:textId="77777777" w:rsidTr="00062621">
        <w:trPr>
          <w:trHeight w:val="397"/>
        </w:trPr>
        <w:tc>
          <w:tcPr>
            <w:tcW w:w="172" w:type="pct"/>
            <w:vAlign w:val="center"/>
          </w:tcPr>
          <w:p w14:paraId="0334B103" w14:textId="77777777" w:rsidR="00160529" w:rsidRPr="002D24F7" w:rsidRDefault="00B30582" w:rsidP="007851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lastRenderedPageBreak/>
              <w:t>14</w:t>
            </w:r>
            <w:r w:rsidR="00784ED6" w:rsidRPr="002D24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858" w:type="pct"/>
            <w:vAlign w:val="center"/>
          </w:tcPr>
          <w:p w14:paraId="177760D6" w14:textId="77777777" w:rsidR="00B30582" w:rsidRPr="002D24F7" w:rsidRDefault="00784ED6" w:rsidP="00B30582">
            <w:pPr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Podobieństwa i różnice w odniesieniu do kwalifikacji o zbliżonym charakterze, w szczególności kwalifikacji włączonych do Zintegrowanego Systemu Kwalifikacji: </w:t>
            </w:r>
          </w:p>
          <w:p w14:paraId="505C050F" w14:textId="7061C177" w:rsidR="00160529" w:rsidRPr="002D24F7" w:rsidRDefault="005945D9" w:rsidP="005945D9">
            <w:pPr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lastRenderedPageBreak/>
              <w:t>Część efektów uczenia się właściwa dla kwalifikacji może być wspólna z efektami uczenia się na studiach podyplomowych z</w:t>
            </w:r>
            <w:r w:rsidR="007A1B6C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>zakresu “Pracy z uczniem zdolnym”. Jednak charakter efektów uczenia się jest na tyle różny, że bezpośrednie odniesienie ich do</w:t>
            </w:r>
            <w:r w:rsidR="007A1B6C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>efektów uczenia się wymaganych dla kwalifikacji "Wspieranie zdolnych i uzdolnionych dzieci oraz młodzieży" nie jest zasadne.</w:t>
            </w:r>
            <w:r w:rsidR="007A1B6C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>Należy podkreślić, że w ramach systemu szkolnictwa wyższego posiadanie efektów uczenia się, pokrywających się zakresem z</w:t>
            </w:r>
            <w:r w:rsidR="007A1B6C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>opisaną kwalifikacją rynkową, nie może zostać potwierdzone w całości w wyniku walidacji uczenia się pozaformalnego i</w:t>
            </w:r>
            <w:r w:rsidR="007A1B6C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>nieformalnego. Włączenie kwalifikacji do ZSK umożliwi potwierdzenie kompetencji przez osoby, które chcą skorzystać z</w:t>
            </w:r>
            <w:r w:rsidR="007A1B6C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>równoważnej do formalnej ścieżki uczenia się przez całe życie.</w:t>
            </w:r>
          </w:p>
        </w:tc>
        <w:tc>
          <w:tcPr>
            <w:tcW w:w="1970" w:type="pct"/>
            <w:vAlign w:val="center"/>
          </w:tcPr>
          <w:p w14:paraId="753AEB09" w14:textId="77777777" w:rsidR="00160529" w:rsidRPr="002D24F7" w:rsidRDefault="00160529" w:rsidP="00785180">
            <w:pPr>
              <w:spacing w:before="120" w:after="120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784ED6" w:rsidRPr="002D24F7" w14:paraId="6DC4451C" w14:textId="77777777" w:rsidTr="00062621">
        <w:trPr>
          <w:trHeight w:val="397"/>
        </w:trPr>
        <w:tc>
          <w:tcPr>
            <w:tcW w:w="172" w:type="pct"/>
            <w:vAlign w:val="center"/>
          </w:tcPr>
          <w:p w14:paraId="6E0545E1" w14:textId="77777777" w:rsidR="00784ED6" w:rsidRPr="002D24F7" w:rsidRDefault="00B30582" w:rsidP="007851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15</w:t>
            </w:r>
            <w:r w:rsidR="00784ED6" w:rsidRPr="002D24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858" w:type="pct"/>
            <w:vAlign w:val="center"/>
          </w:tcPr>
          <w:p w14:paraId="5B56C126" w14:textId="77777777" w:rsidR="00784ED6" w:rsidRPr="002D24F7" w:rsidRDefault="00784ED6" w:rsidP="00B30582">
            <w:pPr>
              <w:spacing w:before="120" w:after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Inne przesłanki potwierdzające zgodność kwalifikacji wolnorynkowej z rozpoznanymi potrzebami rynku pracy i grup osób, do których dana kwalifikacja wolnorynkowa w szczególności jest kierowana: </w:t>
            </w:r>
          </w:p>
          <w:p w14:paraId="06B96671" w14:textId="74981DFF" w:rsidR="005945D9" w:rsidRPr="002D24F7" w:rsidRDefault="005945D9" w:rsidP="005945D9">
            <w:pPr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 xml:space="preserve">Kwalifikacja opisana z </w:t>
            </w:r>
            <w:r w:rsidR="007A1B6C" w:rsidRPr="002D24F7">
              <w:rPr>
                <w:rFonts w:cstheme="minorHAnsi"/>
                <w:sz w:val="18"/>
                <w:szCs w:val="18"/>
              </w:rPr>
              <w:t>autorytetami</w:t>
            </w:r>
            <w:r w:rsidRPr="002D24F7">
              <w:rPr>
                <w:rFonts w:cstheme="minorHAnsi"/>
                <w:sz w:val="18"/>
                <w:szCs w:val="18"/>
              </w:rPr>
              <w:t xml:space="preserve"> w dziedzinie uzdolnień oraz wspierania ucznia zdolnego: dr Ryszardą Ewą Bernacką (UJK w</w:t>
            </w:r>
            <w:r w:rsidR="007A1B6C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 xml:space="preserve">Kielcach, Akademia Pedagogiki Specjalnej, dawniej UMCS w Lublinie) oraz dr Aleksandrą Lato (Akademia Ekonomiczno-Humanistyczna w Warszawie, UMCS, </w:t>
            </w:r>
            <w:r w:rsidR="007A1B6C" w:rsidRPr="002D24F7">
              <w:rPr>
                <w:rFonts w:cstheme="minorHAnsi"/>
                <w:sz w:val="18"/>
                <w:szCs w:val="18"/>
              </w:rPr>
              <w:t>właścicielka</w:t>
            </w:r>
            <w:r w:rsidRPr="002D24F7">
              <w:rPr>
                <w:rFonts w:cstheme="minorHAnsi"/>
                <w:sz w:val="18"/>
                <w:szCs w:val="18"/>
              </w:rPr>
              <w:t xml:space="preserve"> Szkoły Liderów dla dzieci, opiekun zdolnego ucznia Kamila Wrońskiego, który w</w:t>
            </w:r>
            <w:r w:rsidR="007A1B6C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>wieku 8 lat zdobył indeks Politechniki Lubelskiej na Wydziale Mechatroniki). Efekty uczenia się zdefiniowane dla kwalifikacji</w:t>
            </w:r>
            <w:r w:rsidR="007A1B6C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 xml:space="preserve">wynikają nie tylko z aktualnej wiedzy psychologicznej, neurodydaktycznej, ale także z praktyki ekspertek </w:t>
            </w:r>
            <w:r w:rsidR="007A1B6C" w:rsidRPr="002D24F7">
              <w:rPr>
                <w:rFonts w:cstheme="minorHAnsi"/>
                <w:sz w:val="18"/>
                <w:szCs w:val="18"/>
              </w:rPr>
              <w:t>pracujących</w:t>
            </w:r>
            <w:r w:rsidRPr="002D24F7">
              <w:rPr>
                <w:rFonts w:cstheme="minorHAnsi"/>
                <w:sz w:val="18"/>
                <w:szCs w:val="18"/>
              </w:rPr>
              <w:t xml:space="preserve"> z</w:t>
            </w:r>
            <w:r w:rsidR="007A1B6C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 xml:space="preserve">uzdolnionymi </w:t>
            </w:r>
            <w:r w:rsidR="007A1B6C" w:rsidRPr="002D24F7">
              <w:rPr>
                <w:rFonts w:cstheme="minorHAnsi"/>
                <w:sz w:val="18"/>
                <w:szCs w:val="18"/>
              </w:rPr>
              <w:t>dziećmi</w:t>
            </w:r>
            <w:r w:rsidRPr="002D24F7">
              <w:rPr>
                <w:rFonts w:cstheme="minorHAnsi"/>
                <w:sz w:val="18"/>
                <w:szCs w:val="18"/>
              </w:rPr>
              <w:t xml:space="preserve"> i młodzieżą. </w:t>
            </w:r>
            <w:r w:rsidR="007A1B6C" w:rsidRPr="002D24F7">
              <w:rPr>
                <w:rFonts w:cstheme="minorHAnsi"/>
                <w:sz w:val="18"/>
                <w:szCs w:val="18"/>
              </w:rPr>
              <w:t>Kwalifikacja</w:t>
            </w:r>
            <w:r w:rsidRPr="002D24F7">
              <w:rPr>
                <w:rFonts w:cstheme="minorHAnsi"/>
                <w:sz w:val="18"/>
                <w:szCs w:val="18"/>
              </w:rPr>
              <w:t xml:space="preserve"> pomyślana tak, </w:t>
            </w:r>
            <w:r w:rsidR="007A1B6C" w:rsidRPr="002D24F7">
              <w:rPr>
                <w:rFonts w:cstheme="minorHAnsi"/>
                <w:sz w:val="18"/>
                <w:szCs w:val="18"/>
              </w:rPr>
              <w:t>żeby</w:t>
            </w:r>
            <w:r w:rsidRPr="002D24F7">
              <w:rPr>
                <w:rFonts w:cstheme="minorHAnsi"/>
                <w:sz w:val="18"/>
                <w:szCs w:val="18"/>
              </w:rPr>
              <w:t xml:space="preserve"> mogła znaleźć szerokie zastosowanie wszędzie tam, gdzie</w:t>
            </w:r>
            <w:r w:rsidR="007A1B6C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>stykamy się z uczniem zdolnym lub uzdolnionym: w szkole, na uczelni, w placówkach kultury, firmach szkoleniowych. „Dziecko</w:t>
            </w:r>
            <w:r w:rsidR="007A1B6C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 xml:space="preserve">rodzi się wszechstronnie uzdolnione, z pełną możliwością rozwoju we wszystkich kierunkach, potencjalną, wybitną inteligencją </w:t>
            </w:r>
            <w:r w:rsidR="007A1B6C">
              <w:rPr>
                <w:rFonts w:cstheme="minorHAnsi"/>
                <w:sz w:val="18"/>
                <w:szCs w:val="18"/>
              </w:rPr>
              <w:t xml:space="preserve">i </w:t>
            </w:r>
            <w:r w:rsidRPr="002D24F7">
              <w:rPr>
                <w:rFonts w:cstheme="minorHAnsi"/>
                <w:sz w:val="18"/>
                <w:szCs w:val="18"/>
              </w:rPr>
              <w:t>zadatkami na rozwijanie wielkiej twórczości oraz dużym talentem społecznym. Trzeba stworzyć mu możliwości ich maksymalnego</w:t>
            </w:r>
            <w:r w:rsidR="007A1B6C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 xml:space="preserve">rozwoju” (David Lewis). Wszelkie działania edukacyjne już od najmłodszych lat przedszkolnych powinny </w:t>
            </w:r>
            <w:r w:rsidR="007A1B6C" w:rsidRPr="002D24F7">
              <w:rPr>
                <w:rFonts w:cstheme="minorHAnsi"/>
                <w:sz w:val="18"/>
                <w:szCs w:val="18"/>
              </w:rPr>
              <w:t>być</w:t>
            </w:r>
            <w:r w:rsidRPr="002D24F7">
              <w:rPr>
                <w:rFonts w:cstheme="minorHAnsi"/>
                <w:sz w:val="18"/>
                <w:szCs w:val="18"/>
              </w:rPr>
              <w:t xml:space="preserve"> nakierowane na</w:t>
            </w:r>
            <w:r w:rsidR="007A1B6C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 xml:space="preserve">rozwijanie wrodzonych </w:t>
            </w:r>
            <w:r w:rsidR="007A1B6C" w:rsidRPr="002D24F7">
              <w:rPr>
                <w:rFonts w:cstheme="minorHAnsi"/>
                <w:sz w:val="18"/>
                <w:szCs w:val="18"/>
              </w:rPr>
              <w:t>uzdolnień</w:t>
            </w:r>
            <w:r w:rsidRPr="002D24F7">
              <w:rPr>
                <w:rFonts w:cstheme="minorHAnsi"/>
                <w:sz w:val="18"/>
                <w:szCs w:val="18"/>
              </w:rPr>
              <w:t xml:space="preserve"> i zdolności dzieci. Polski system </w:t>
            </w:r>
            <w:r w:rsidR="007A1B6C" w:rsidRPr="002D24F7">
              <w:rPr>
                <w:rFonts w:cstheme="minorHAnsi"/>
                <w:sz w:val="18"/>
                <w:szCs w:val="18"/>
              </w:rPr>
              <w:t>edukacji</w:t>
            </w:r>
            <w:r w:rsidRPr="002D24F7">
              <w:rPr>
                <w:rFonts w:cstheme="minorHAnsi"/>
                <w:sz w:val="18"/>
                <w:szCs w:val="18"/>
              </w:rPr>
              <w:t xml:space="preserve"> powinien wspierać nie tylko dzieci z </w:t>
            </w:r>
            <w:r w:rsidR="007A1B6C" w:rsidRPr="002D24F7">
              <w:rPr>
                <w:rFonts w:cstheme="minorHAnsi"/>
                <w:sz w:val="18"/>
                <w:szCs w:val="18"/>
              </w:rPr>
              <w:t>trudnościami</w:t>
            </w:r>
            <w:r w:rsidRPr="002D24F7">
              <w:rPr>
                <w:rFonts w:cstheme="minorHAnsi"/>
                <w:sz w:val="18"/>
                <w:szCs w:val="18"/>
              </w:rPr>
              <w:t>, ale</w:t>
            </w:r>
            <w:r w:rsidR="007A1B6C">
              <w:rPr>
                <w:rFonts w:cstheme="minorHAnsi"/>
                <w:sz w:val="18"/>
                <w:szCs w:val="18"/>
              </w:rPr>
              <w:t xml:space="preserve"> </w:t>
            </w:r>
            <w:r w:rsidR="007A1B6C" w:rsidRPr="002D24F7">
              <w:rPr>
                <w:rFonts w:cstheme="minorHAnsi"/>
                <w:sz w:val="18"/>
                <w:szCs w:val="18"/>
              </w:rPr>
              <w:t>także</w:t>
            </w:r>
            <w:r w:rsidRPr="002D24F7">
              <w:rPr>
                <w:rFonts w:cstheme="minorHAnsi"/>
                <w:sz w:val="18"/>
                <w:szCs w:val="18"/>
              </w:rPr>
              <w:t xml:space="preserve"> talenty, które w przyszłości </w:t>
            </w:r>
            <w:r w:rsidR="007A1B6C" w:rsidRPr="002D24F7">
              <w:rPr>
                <w:rFonts w:cstheme="minorHAnsi"/>
                <w:sz w:val="18"/>
                <w:szCs w:val="18"/>
              </w:rPr>
              <w:t>mogą</w:t>
            </w:r>
            <w:r w:rsidRPr="002D24F7">
              <w:rPr>
                <w:rFonts w:cstheme="minorHAnsi"/>
                <w:sz w:val="18"/>
                <w:szCs w:val="18"/>
              </w:rPr>
              <w:t xml:space="preserve"> stać się innowatorami i wpływać na przewagi konkurencyjne </w:t>
            </w:r>
            <w:r w:rsidR="007A1B6C" w:rsidRPr="002D24F7">
              <w:rPr>
                <w:rFonts w:cstheme="minorHAnsi"/>
                <w:sz w:val="18"/>
                <w:szCs w:val="18"/>
              </w:rPr>
              <w:t>polskiej</w:t>
            </w:r>
            <w:r w:rsidRPr="002D24F7">
              <w:rPr>
                <w:rFonts w:cstheme="minorHAnsi"/>
                <w:sz w:val="18"/>
                <w:szCs w:val="18"/>
              </w:rPr>
              <w:t xml:space="preserve"> gospodarki.</w:t>
            </w:r>
          </w:p>
          <w:p w14:paraId="2A3CA4C0" w14:textId="140864AF" w:rsidR="00B30582" w:rsidRPr="002D24F7" w:rsidRDefault="005945D9" w:rsidP="005945D9">
            <w:pPr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 xml:space="preserve">Edukatorzy powinni </w:t>
            </w:r>
            <w:r w:rsidR="007A1B6C" w:rsidRPr="002D24F7">
              <w:rPr>
                <w:rFonts w:cstheme="minorHAnsi"/>
                <w:sz w:val="18"/>
                <w:szCs w:val="18"/>
              </w:rPr>
              <w:t>być</w:t>
            </w:r>
            <w:r w:rsidRPr="002D24F7">
              <w:rPr>
                <w:rFonts w:cstheme="minorHAnsi"/>
                <w:sz w:val="18"/>
                <w:szCs w:val="18"/>
              </w:rPr>
              <w:t xml:space="preserve"> wyposażeni w wiedzę i narzędzia pracy w uczniem zdolnym. Zarówno </w:t>
            </w:r>
            <w:r w:rsidR="007A1B6C" w:rsidRPr="002D24F7">
              <w:rPr>
                <w:rFonts w:cstheme="minorHAnsi"/>
                <w:sz w:val="18"/>
                <w:szCs w:val="18"/>
              </w:rPr>
              <w:t>wnioskodawca</w:t>
            </w:r>
            <w:r w:rsidRPr="002D24F7">
              <w:rPr>
                <w:rFonts w:cstheme="minorHAnsi"/>
                <w:sz w:val="18"/>
                <w:szCs w:val="18"/>
              </w:rPr>
              <w:t>, jak i ekspertki</w:t>
            </w:r>
            <w:r w:rsidR="007A1B6C">
              <w:rPr>
                <w:rFonts w:cstheme="minorHAnsi"/>
                <w:sz w:val="18"/>
                <w:szCs w:val="18"/>
              </w:rPr>
              <w:t xml:space="preserve"> </w:t>
            </w:r>
            <w:r w:rsidR="007A1B6C" w:rsidRPr="002D24F7">
              <w:rPr>
                <w:rFonts w:cstheme="minorHAnsi"/>
                <w:sz w:val="18"/>
                <w:szCs w:val="18"/>
              </w:rPr>
              <w:t>pracujące</w:t>
            </w:r>
            <w:r w:rsidRPr="002D24F7">
              <w:rPr>
                <w:rFonts w:cstheme="minorHAnsi"/>
                <w:sz w:val="18"/>
                <w:szCs w:val="18"/>
              </w:rPr>
              <w:t xml:space="preserve"> przy opisie </w:t>
            </w:r>
            <w:r w:rsidR="007A1B6C" w:rsidRPr="002D24F7">
              <w:rPr>
                <w:rFonts w:cstheme="minorHAnsi"/>
                <w:sz w:val="18"/>
                <w:szCs w:val="18"/>
              </w:rPr>
              <w:t>kwalifikacji</w:t>
            </w:r>
            <w:r w:rsidRPr="002D24F7">
              <w:rPr>
                <w:rFonts w:cstheme="minorHAnsi"/>
                <w:sz w:val="18"/>
                <w:szCs w:val="18"/>
              </w:rPr>
              <w:t xml:space="preserve"> są przekonane, że włączenie </w:t>
            </w:r>
            <w:r w:rsidR="007A1B6C" w:rsidRPr="002D24F7">
              <w:rPr>
                <w:rFonts w:cstheme="minorHAnsi"/>
                <w:sz w:val="18"/>
                <w:szCs w:val="18"/>
              </w:rPr>
              <w:t>kwalifikacji</w:t>
            </w:r>
            <w:r w:rsidRPr="002D24F7">
              <w:rPr>
                <w:rFonts w:cstheme="minorHAnsi"/>
                <w:sz w:val="18"/>
                <w:szCs w:val="18"/>
              </w:rPr>
              <w:t xml:space="preserve"> do ZSK przyczyni się do </w:t>
            </w:r>
            <w:r w:rsidR="007A1B6C" w:rsidRPr="002D24F7">
              <w:rPr>
                <w:rFonts w:cstheme="minorHAnsi"/>
                <w:sz w:val="18"/>
                <w:szCs w:val="18"/>
              </w:rPr>
              <w:t>wzrostu</w:t>
            </w:r>
            <w:r w:rsidRPr="002D24F7">
              <w:rPr>
                <w:rFonts w:cstheme="minorHAnsi"/>
                <w:sz w:val="18"/>
                <w:szCs w:val="18"/>
              </w:rPr>
              <w:t xml:space="preserve"> jakości zaopiekowania</w:t>
            </w:r>
            <w:r w:rsidR="007A1B6C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 xml:space="preserve">dzieci i młodzieży zdolnej i uzdolnionej i </w:t>
            </w:r>
            <w:r w:rsidR="007A1B6C" w:rsidRPr="002D24F7">
              <w:rPr>
                <w:rFonts w:cstheme="minorHAnsi"/>
                <w:sz w:val="18"/>
                <w:szCs w:val="18"/>
              </w:rPr>
              <w:t>może</w:t>
            </w:r>
            <w:r w:rsidRPr="002D24F7">
              <w:rPr>
                <w:rFonts w:cstheme="minorHAnsi"/>
                <w:sz w:val="18"/>
                <w:szCs w:val="18"/>
              </w:rPr>
              <w:t xml:space="preserve"> stanowić narzędzie budowania innowacyjności kapitału ludzkiego dla obecnych i</w:t>
            </w:r>
            <w:r w:rsidR="007A1B6C">
              <w:rPr>
                <w:rFonts w:cstheme="minorHAnsi"/>
                <w:sz w:val="18"/>
                <w:szCs w:val="18"/>
              </w:rPr>
              <w:t xml:space="preserve"> </w:t>
            </w:r>
            <w:r w:rsidRPr="002D24F7">
              <w:rPr>
                <w:rFonts w:cstheme="minorHAnsi"/>
                <w:sz w:val="18"/>
                <w:szCs w:val="18"/>
              </w:rPr>
              <w:t>przyszłych pokoleń dzieci i młodzieży.</w:t>
            </w:r>
          </w:p>
        </w:tc>
        <w:tc>
          <w:tcPr>
            <w:tcW w:w="1970" w:type="pct"/>
            <w:vAlign w:val="center"/>
          </w:tcPr>
          <w:p w14:paraId="73891A56" w14:textId="77777777" w:rsidR="00784ED6" w:rsidRPr="002D24F7" w:rsidRDefault="00784ED6" w:rsidP="00785180">
            <w:pPr>
              <w:spacing w:before="120" w:after="120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784ED6" w:rsidRPr="002D24F7" w14:paraId="1FDA426C" w14:textId="77777777" w:rsidTr="00062621">
        <w:trPr>
          <w:trHeight w:val="397"/>
        </w:trPr>
        <w:tc>
          <w:tcPr>
            <w:tcW w:w="172" w:type="pct"/>
            <w:vAlign w:val="center"/>
          </w:tcPr>
          <w:p w14:paraId="1D9C245B" w14:textId="77777777" w:rsidR="00784ED6" w:rsidRPr="002D24F7" w:rsidRDefault="00B30582" w:rsidP="007851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16</w:t>
            </w:r>
            <w:r w:rsidR="00784ED6" w:rsidRPr="002D24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858" w:type="pct"/>
            <w:vAlign w:val="center"/>
          </w:tcPr>
          <w:p w14:paraId="0A2B812B" w14:textId="08D287D8" w:rsidR="00784ED6" w:rsidRPr="002D24F7" w:rsidRDefault="00784ED6" w:rsidP="00784ED6">
            <w:pPr>
              <w:spacing w:before="120" w:after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Okres ważności certyfikatu kwalifikacji: </w:t>
            </w:r>
            <w:r w:rsidR="005945D9" w:rsidRPr="002D24F7">
              <w:rPr>
                <w:rFonts w:cstheme="minorHAnsi"/>
                <w:b/>
                <w:sz w:val="18"/>
                <w:szCs w:val="18"/>
              </w:rPr>
              <w:t>Bezterminowo</w:t>
            </w:r>
          </w:p>
        </w:tc>
        <w:tc>
          <w:tcPr>
            <w:tcW w:w="1970" w:type="pct"/>
            <w:vAlign w:val="center"/>
          </w:tcPr>
          <w:p w14:paraId="4206F463" w14:textId="77777777" w:rsidR="00784ED6" w:rsidRPr="002D24F7" w:rsidRDefault="00784ED6" w:rsidP="00785180">
            <w:pPr>
              <w:spacing w:before="120" w:after="120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B30582" w:rsidRPr="002D24F7" w14:paraId="28476E46" w14:textId="77777777" w:rsidTr="00062621">
        <w:trPr>
          <w:trHeight w:val="397"/>
        </w:trPr>
        <w:tc>
          <w:tcPr>
            <w:tcW w:w="172" w:type="pct"/>
            <w:vAlign w:val="center"/>
          </w:tcPr>
          <w:p w14:paraId="1332F584" w14:textId="77777777" w:rsidR="00B30582" w:rsidRPr="002D24F7" w:rsidRDefault="00B30582" w:rsidP="007851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2858" w:type="pct"/>
            <w:vAlign w:val="center"/>
          </w:tcPr>
          <w:p w14:paraId="250178FC" w14:textId="64520C65" w:rsidR="00B30582" w:rsidRPr="002D24F7" w:rsidRDefault="00B30582" w:rsidP="00B30582">
            <w:pPr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Warunki przedłużenia ważności certyfikatu: </w:t>
            </w:r>
          </w:p>
        </w:tc>
        <w:tc>
          <w:tcPr>
            <w:tcW w:w="1970" w:type="pct"/>
            <w:vAlign w:val="center"/>
          </w:tcPr>
          <w:p w14:paraId="448B1F95" w14:textId="77777777" w:rsidR="00B30582" w:rsidRPr="002D24F7" w:rsidRDefault="00B30582" w:rsidP="00785180">
            <w:pPr>
              <w:spacing w:before="120" w:after="120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784ED6" w:rsidRPr="002D24F7" w14:paraId="30A441F8" w14:textId="77777777" w:rsidTr="00062621">
        <w:trPr>
          <w:trHeight w:val="397"/>
        </w:trPr>
        <w:tc>
          <w:tcPr>
            <w:tcW w:w="172" w:type="pct"/>
            <w:vAlign w:val="center"/>
          </w:tcPr>
          <w:p w14:paraId="575E306C" w14:textId="77777777" w:rsidR="00784ED6" w:rsidRPr="002D24F7" w:rsidRDefault="00B30582" w:rsidP="007851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18</w:t>
            </w:r>
            <w:r w:rsidR="00784ED6" w:rsidRPr="002D24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858" w:type="pct"/>
            <w:vAlign w:val="center"/>
          </w:tcPr>
          <w:p w14:paraId="53747387" w14:textId="37AC1342" w:rsidR="00784ED6" w:rsidRPr="002D24F7" w:rsidRDefault="00784ED6" w:rsidP="00784ED6">
            <w:pPr>
              <w:spacing w:before="120" w:after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Kod Międzynarodowej Standardowej Klasyfikacji Edukacji (ISCED): </w:t>
            </w:r>
            <w:r w:rsidR="005945D9" w:rsidRPr="002D24F7">
              <w:rPr>
                <w:rFonts w:cstheme="minorHAnsi"/>
                <w:sz w:val="18"/>
                <w:szCs w:val="18"/>
              </w:rPr>
              <w:t>0188 - Interdyscyplinarne programy i kwalifikacje związane z edukacją</w:t>
            </w:r>
          </w:p>
          <w:p w14:paraId="3580E925" w14:textId="77777777" w:rsidR="00784ED6" w:rsidRPr="002D24F7" w:rsidRDefault="00784ED6" w:rsidP="00784ED6">
            <w:pPr>
              <w:spacing w:before="120" w:after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Kod PKD: </w:t>
            </w:r>
            <w:r w:rsidRPr="002D24F7">
              <w:rPr>
                <w:rFonts w:cstheme="minorHAnsi"/>
                <w:sz w:val="18"/>
                <w:szCs w:val="18"/>
              </w:rPr>
              <w:t xml:space="preserve">85.59.B - Pozostałe pozaszkolne formy edukacji, gdzie indziej niesklasyfikowane  </w:t>
            </w:r>
          </w:p>
        </w:tc>
        <w:tc>
          <w:tcPr>
            <w:tcW w:w="1970" w:type="pct"/>
            <w:vAlign w:val="center"/>
          </w:tcPr>
          <w:p w14:paraId="2D7D07E2" w14:textId="77777777" w:rsidR="00784ED6" w:rsidRPr="002D24F7" w:rsidRDefault="00784ED6" w:rsidP="00785180">
            <w:pPr>
              <w:spacing w:before="120" w:after="120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</w:tbl>
    <w:p w14:paraId="28838AE8" w14:textId="77777777" w:rsidR="00BF632A" w:rsidRDefault="00BF632A" w:rsidP="00D314CC">
      <w:pPr>
        <w:spacing w:before="240" w:after="240"/>
        <w:jc w:val="center"/>
        <w:rPr>
          <w:b/>
          <w:sz w:val="28"/>
          <w:szCs w:val="28"/>
        </w:rPr>
      </w:pPr>
    </w:p>
    <w:p w14:paraId="5974A884" w14:textId="77777777" w:rsidR="00BF632A" w:rsidRDefault="00BF632A" w:rsidP="00D314CC">
      <w:pPr>
        <w:spacing w:before="240" w:after="240"/>
        <w:jc w:val="center"/>
        <w:rPr>
          <w:b/>
          <w:sz w:val="28"/>
          <w:szCs w:val="28"/>
        </w:rPr>
      </w:pPr>
    </w:p>
    <w:p w14:paraId="6B71BFAB" w14:textId="77777777" w:rsidR="007037AF" w:rsidRDefault="007037AF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Ogólne uwagi na temat kwalifikacji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D314CC" w14:paraId="7BE010B3" w14:textId="77777777" w:rsidTr="00416268">
        <w:tc>
          <w:tcPr>
            <w:tcW w:w="5000" w:type="pct"/>
          </w:tcPr>
          <w:p w14:paraId="05D2FCA9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0A33847D" w14:textId="77777777" w:rsidR="00D314CC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756E5F83" w14:textId="77777777"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265315F5" w14:textId="77777777"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5C7E2B19" w14:textId="77777777" w:rsidR="00416268" w:rsidRPr="00416268" w:rsidRDefault="00416268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6F4848C7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431CED4F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47C8C2A5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</w:tc>
      </w:tr>
    </w:tbl>
    <w:p w14:paraId="5DED9E48" w14:textId="77777777" w:rsidR="00D314CC" w:rsidRPr="00D314CC" w:rsidRDefault="00547C62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Podsumowanie uwag</w:t>
      </w:r>
    </w:p>
    <w:tbl>
      <w:tblPr>
        <w:tblStyle w:val="Tabela-Siatka"/>
        <w:tblW w:w="4999" w:type="pct"/>
        <w:tblLook w:val="04A0" w:firstRow="1" w:lastRow="0" w:firstColumn="1" w:lastColumn="0" w:noHBand="0" w:noVBand="1"/>
      </w:tblPr>
      <w:tblGrid>
        <w:gridCol w:w="4952"/>
        <w:gridCol w:w="9037"/>
      </w:tblGrid>
      <w:tr w:rsidR="00547C62" w14:paraId="08CCD84A" w14:textId="77777777" w:rsidTr="00416268">
        <w:tc>
          <w:tcPr>
            <w:tcW w:w="5000" w:type="pct"/>
            <w:gridSpan w:val="2"/>
          </w:tcPr>
          <w:p w14:paraId="7FDE28B6" w14:textId="77777777"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Dalsza praca nad kwalifikacją jest u</w:t>
            </w:r>
            <w:r w:rsidR="00547C62">
              <w:rPr>
                <w:sz w:val="20"/>
                <w:szCs w:val="20"/>
              </w:rPr>
              <w:t>zasadniona</w:t>
            </w:r>
            <w:r>
              <w:rPr>
                <w:sz w:val="20"/>
                <w:szCs w:val="20"/>
              </w:rPr>
              <w:t xml:space="preserve"> </w:t>
            </w:r>
            <w:r w:rsidR="00547C62">
              <w:rPr>
                <w:sz w:val="20"/>
                <w:szCs w:val="20"/>
              </w:rPr>
              <w:t>– głos aprobujący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83966987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7C62" w14:paraId="46B818B7" w14:textId="77777777" w:rsidTr="00416268">
        <w:tc>
          <w:tcPr>
            <w:tcW w:w="5000" w:type="pct"/>
            <w:gridSpan w:val="2"/>
          </w:tcPr>
          <w:p w14:paraId="35924043" w14:textId="77777777"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Dalsza praca nad kwalifikacją jest nieuzasadniona </w:t>
            </w:r>
            <w:r w:rsidR="00547C62">
              <w:rPr>
                <w:sz w:val="20"/>
                <w:szCs w:val="20"/>
              </w:rPr>
              <w:t>– głos negujący</w:t>
            </w:r>
            <w:r w:rsidR="00E9053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0046069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6268" w14:paraId="1557F17A" w14:textId="77777777" w:rsidTr="00416268">
        <w:trPr>
          <w:trHeight w:val="1134"/>
        </w:trPr>
        <w:tc>
          <w:tcPr>
            <w:tcW w:w="1770" w:type="pct"/>
            <w:vAlign w:val="center"/>
          </w:tcPr>
          <w:p w14:paraId="1F98FE2C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30" w:type="pct"/>
            <w:vAlign w:val="center"/>
          </w:tcPr>
          <w:p w14:paraId="4B5BA1B8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416268" w14:paraId="15B3191C" w14:textId="77777777" w:rsidTr="00416268">
        <w:trPr>
          <w:trHeight w:val="1134"/>
        </w:trPr>
        <w:tc>
          <w:tcPr>
            <w:tcW w:w="1770" w:type="pct"/>
            <w:vAlign w:val="center"/>
          </w:tcPr>
          <w:p w14:paraId="69D7A2CB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Podpis</w:t>
            </w:r>
            <w:r w:rsidR="006C3170">
              <w:rPr>
                <w:sz w:val="20"/>
                <w:szCs w:val="20"/>
              </w:rPr>
              <w:t xml:space="preserve"> osoby reprezentującej podmiot zgłaszający uwagi</w:t>
            </w:r>
          </w:p>
        </w:tc>
        <w:tc>
          <w:tcPr>
            <w:tcW w:w="3230" w:type="pct"/>
            <w:vAlign w:val="center"/>
          </w:tcPr>
          <w:p w14:paraId="108D3EE9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</w:tbl>
    <w:p w14:paraId="12D6FDF3" w14:textId="77777777" w:rsidR="00482A76" w:rsidRPr="006C3170" w:rsidRDefault="00482A76" w:rsidP="006C3170">
      <w:pPr>
        <w:spacing w:before="240" w:after="240"/>
        <w:rPr>
          <w:szCs w:val="20"/>
        </w:rPr>
      </w:pPr>
    </w:p>
    <w:sectPr w:rsidR="00482A76" w:rsidRPr="006C3170" w:rsidSect="00FF6919">
      <w:headerReference w:type="default" r:id="rId8"/>
      <w:footerReference w:type="default" r:id="rId9"/>
      <w:pgSz w:w="16838" w:h="11906" w:orient="landscape"/>
      <w:pgMar w:top="1418" w:right="1418" w:bottom="1418" w:left="1418" w:header="10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76940" w14:textId="77777777" w:rsidR="00F35428" w:rsidRDefault="00F35428" w:rsidP="009F72A9">
      <w:pPr>
        <w:spacing w:after="0" w:line="240" w:lineRule="auto"/>
      </w:pPr>
      <w:r>
        <w:separator/>
      </w:r>
    </w:p>
  </w:endnote>
  <w:endnote w:type="continuationSeparator" w:id="0">
    <w:p w14:paraId="1867F5EE" w14:textId="77777777" w:rsidR="00F35428" w:rsidRDefault="00F35428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</w:rPr>
      <w:id w:val="-495110400"/>
      <w:docPartObj>
        <w:docPartGallery w:val="Page Numbers (Bottom of Page)"/>
        <w:docPartUnique/>
      </w:docPartObj>
    </w:sdtPr>
    <w:sdtEndPr/>
    <w:sdtContent>
      <w:p w14:paraId="31C0552A" w14:textId="77777777" w:rsidR="008F094E" w:rsidRPr="00E544F1" w:rsidRDefault="0043228B" w:rsidP="00D83281">
        <w:pPr>
          <w:pStyle w:val="Stopka"/>
          <w:jc w:val="center"/>
          <w:rPr>
            <w:sz w:val="16"/>
          </w:rPr>
        </w:pPr>
        <w:r w:rsidRPr="00E544F1">
          <w:rPr>
            <w:sz w:val="16"/>
          </w:rPr>
          <w:fldChar w:fldCharType="begin"/>
        </w:r>
        <w:r w:rsidR="008F094E" w:rsidRPr="00E544F1">
          <w:rPr>
            <w:sz w:val="16"/>
          </w:rPr>
          <w:instrText>PAGE   \* MERGEFORMAT</w:instrText>
        </w:r>
        <w:r w:rsidRPr="00E544F1">
          <w:rPr>
            <w:sz w:val="16"/>
          </w:rPr>
          <w:fldChar w:fldCharType="separate"/>
        </w:r>
        <w:r w:rsidR="00B30582">
          <w:rPr>
            <w:noProof/>
            <w:sz w:val="16"/>
          </w:rPr>
          <w:t>20</w:t>
        </w:r>
        <w:r w:rsidRPr="00E544F1">
          <w:rPr>
            <w:sz w:val="16"/>
          </w:rPr>
          <w:fldChar w:fldCharType="end"/>
        </w:r>
      </w:p>
    </w:sdtContent>
  </w:sdt>
  <w:p w14:paraId="3A8FED12" w14:textId="77777777" w:rsidR="008F094E" w:rsidRDefault="008F0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01A67" w14:textId="77777777" w:rsidR="00F35428" w:rsidRDefault="00F35428" w:rsidP="009F72A9">
      <w:pPr>
        <w:spacing w:after="0" w:line="240" w:lineRule="auto"/>
      </w:pPr>
      <w:r>
        <w:separator/>
      </w:r>
    </w:p>
  </w:footnote>
  <w:footnote w:type="continuationSeparator" w:id="0">
    <w:p w14:paraId="5C14BE75" w14:textId="77777777" w:rsidR="00F35428" w:rsidRDefault="00F35428" w:rsidP="009F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EF731" w14:textId="77777777" w:rsidR="006A672C" w:rsidRDefault="006A672C">
    <w:pPr>
      <w:pStyle w:val="Nagwek"/>
    </w:pPr>
  </w:p>
  <w:p w14:paraId="1EFDF94E" w14:textId="77777777" w:rsidR="006A672C" w:rsidRDefault="006A6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18A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5DE9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717D"/>
    <w:multiLevelType w:val="hybridMultilevel"/>
    <w:tmpl w:val="460A847E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" w15:restartNumberingAfterBreak="0">
    <w:nsid w:val="0521756E"/>
    <w:multiLevelType w:val="hybridMultilevel"/>
    <w:tmpl w:val="B85EA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620C3"/>
    <w:multiLevelType w:val="hybridMultilevel"/>
    <w:tmpl w:val="2766C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C3D45"/>
    <w:multiLevelType w:val="hybridMultilevel"/>
    <w:tmpl w:val="3F4C9006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0ECA06B5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A6A23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43F22"/>
    <w:multiLevelType w:val="hybridMultilevel"/>
    <w:tmpl w:val="D0EC8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B0A6C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32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525F1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07635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66A0D"/>
    <w:multiLevelType w:val="hybridMultilevel"/>
    <w:tmpl w:val="AB021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2137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A3F1C"/>
    <w:multiLevelType w:val="hybridMultilevel"/>
    <w:tmpl w:val="40F676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33292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8253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37B32"/>
    <w:multiLevelType w:val="hybridMultilevel"/>
    <w:tmpl w:val="B824A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A3A1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C24A9"/>
    <w:multiLevelType w:val="hybridMultilevel"/>
    <w:tmpl w:val="4BD6C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B6DCB"/>
    <w:multiLevelType w:val="hybridMultilevel"/>
    <w:tmpl w:val="BDC813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E674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B133F"/>
    <w:multiLevelType w:val="hybridMultilevel"/>
    <w:tmpl w:val="2A22CB84"/>
    <w:lvl w:ilvl="0" w:tplc="06BE139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 w15:restartNumberingAfterBreak="0">
    <w:nsid w:val="3BEF7D3C"/>
    <w:multiLevelType w:val="hybridMultilevel"/>
    <w:tmpl w:val="8A24EB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4718B"/>
    <w:multiLevelType w:val="hybridMultilevel"/>
    <w:tmpl w:val="8182F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2349F"/>
    <w:multiLevelType w:val="hybridMultilevel"/>
    <w:tmpl w:val="3F1CA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E727E"/>
    <w:multiLevelType w:val="hybridMultilevel"/>
    <w:tmpl w:val="3F4C9006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9" w15:restartNumberingAfterBreak="0">
    <w:nsid w:val="4DA16071"/>
    <w:multiLevelType w:val="hybridMultilevel"/>
    <w:tmpl w:val="E6AAB44E"/>
    <w:lvl w:ilvl="0" w:tplc="F0B050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5376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725D0"/>
    <w:multiLevelType w:val="hybridMultilevel"/>
    <w:tmpl w:val="4BD6C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60958"/>
    <w:multiLevelType w:val="hybridMultilevel"/>
    <w:tmpl w:val="4BD6C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60A6F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949DD"/>
    <w:multiLevelType w:val="hybridMultilevel"/>
    <w:tmpl w:val="AF96C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2480B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27651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0423B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86706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105E5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44CB5"/>
    <w:multiLevelType w:val="hybridMultilevel"/>
    <w:tmpl w:val="3F4C9006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1" w15:restartNumberingAfterBreak="0">
    <w:nsid w:val="7D143626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795526">
    <w:abstractNumId w:val="23"/>
  </w:num>
  <w:num w:numId="2" w16cid:durableId="181212572">
    <w:abstractNumId w:val="34"/>
  </w:num>
  <w:num w:numId="3" w16cid:durableId="1059014841">
    <w:abstractNumId w:val="21"/>
  </w:num>
  <w:num w:numId="4" w16cid:durableId="1054504021">
    <w:abstractNumId w:val="25"/>
  </w:num>
  <w:num w:numId="5" w16cid:durableId="1843624182">
    <w:abstractNumId w:val="8"/>
  </w:num>
  <w:num w:numId="6" w16cid:durableId="1078212967">
    <w:abstractNumId w:val="13"/>
  </w:num>
  <w:num w:numId="7" w16cid:durableId="572858055">
    <w:abstractNumId w:val="24"/>
  </w:num>
  <w:num w:numId="8" w16cid:durableId="1180047594">
    <w:abstractNumId w:val="22"/>
  </w:num>
  <w:num w:numId="9" w16cid:durableId="1127356171">
    <w:abstractNumId w:val="17"/>
  </w:num>
  <w:num w:numId="10" w16cid:durableId="1091199092">
    <w:abstractNumId w:val="37"/>
  </w:num>
  <w:num w:numId="11" w16cid:durableId="67266186">
    <w:abstractNumId w:val="14"/>
  </w:num>
  <w:num w:numId="12" w16cid:durableId="676729787">
    <w:abstractNumId w:val="12"/>
  </w:num>
  <w:num w:numId="13" w16cid:durableId="204097575">
    <w:abstractNumId w:val="19"/>
  </w:num>
  <w:num w:numId="14" w16cid:durableId="1692952495">
    <w:abstractNumId w:val="30"/>
  </w:num>
  <w:num w:numId="15" w16cid:durableId="143620160">
    <w:abstractNumId w:val="10"/>
  </w:num>
  <w:num w:numId="16" w16cid:durableId="1966883632">
    <w:abstractNumId w:val="26"/>
  </w:num>
  <w:num w:numId="17" w16cid:durableId="211694912">
    <w:abstractNumId w:val="3"/>
  </w:num>
  <w:num w:numId="18" w16cid:durableId="319160775">
    <w:abstractNumId w:val="31"/>
  </w:num>
  <w:num w:numId="19" w16cid:durableId="347758103">
    <w:abstractNumId w:val="36"/>
  </w:num>
  <w:num w:numId="20" w16cid:durableId="1224560699">
    <w:abstractNumId w:val="6"/>
  </w:num>
  <w:num w:numId="21" w16cid:durableId="1693526831">
    <w:abstractNumId w:val="15"/>
  </w:num>
  <w:num w:numId="22" w16cid:durableId="325522402">
    <w:abstractNumId w:val="18"/>
  </w:num>
  <w:num w:numId="23" w16cid:durableId="1067608744">
    <w:abstractNumId w:val="38"/>
  </w:num>
  <w:num w:numId="24" w16cid:durableId="694572854">
    <w:abstractNumId w:val="16"/>
  </w:num>
  <w:num w:numId="25" w16cid:durableId="896667964">
    <w:abstractNumId w:val="1"/>
  </w:num>
  <w:num w:numId="26" w16cid:durableId="780610438">
    <w:abstractNumId w:val="35"/>
  </w:num>
  <w:num w:numId="27" w16cid:durableId="753865004">
    <w:abstractNumId w:val="11"/>
  </w:num>
  <w:num w:numId="28" w16cid:durableId="795870838">
    <w:abstractNumId w:val="7"/>
  </w:num>
  <w:num w:numId="29" w16cid:durableId="1221096500">
    <w:abstractNumId w:val="0"/>
  </w:num>
  <w:num w:numId="30" w16cid:durableId="604965968">
    <w:abstractNumId w:val="9"/>
  </w:num>
  <w:num w:numId="31" w16cid:durableId="174805125">
    <w:abstractNumId w:val="41"/>
  </w:num>
  <w:num w:numId="32" w16cid:durableId="1024749820">
    <w:abstractNumId w:val="29"/>
  </w:num>
  <w:num w:numId="33" w16cid:durableId="2015186165">
    <w:abstractNumId w:val="2"/>
  </w:num>
  <w:num w:numId="34" w16cid:durableId="257831913">
    <w:abstractNumId w:val="32"/>
  </w:num>
  <w:num w:numId="35" w16cid:durableId="805781790">
    <w:abstractNumId w:val="28"/>
  </w:num>
  <w:num w:numId="36" w16cid:durableId="706415006">
    <w:abstractNumId w:val="40"/>
  </w:num>
  <w:num w:numId="37" w16cid:durableId="259610866">
    <w:abstractNumId w:val="5"/>
  </w:num>
  <w:num w:numId="38" w16cid:durableId="1964732571">
    <w:abstractNumId w:val="20"/>
  </w:num>
  <w:num w:numId="39" w16cid:durableId="96297272">
    <w:abstractNumId w:val="4"/>
  </w:num>
  <w:num w:numId="40" w16cid:durableId="457920482">
    <w:abstractNumId w:val="27"/>
  </w:num>
  <w:num w:numId="41" w16cid:durableId="1326515640">
    <w:abstractNumId w:val="33"/>
  </w:num>
  <w:num w:numId="42" w16cid:durableId="14269981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A9"/>
    <w:rsid w:val="00007547"/>
    <w:rsid w:val="00045F7D"/>
    <w:rsid w:val="00062621"/>
    <w:rsid w:val="00083073"/>
    <w:rsid w:val="000A0AFB"/>
    <w:rsid w:val="000B3648"/>
    <w:rsid w:val="000B3B7D"/>
    <w:rsid w:val="000C6F29"/>
    <w:rsid w:val="000D0392"/>
    <w:rsid w:val="000E2CD8"/>
    <w:rsid w:val="000E3310"/>
    <w:rsid w:val="000E4702"/>
    <w:rsid w:val="000F0585"/>
    <w:rsid w:val="00115417"/>
    <w:rsid w:val="00160529"/>
    <w:rsid w:val="00167AE1"/>
    <w:rsid w:val="0017672D"/>
    <w:rsid w:val="0017762E"/>
    <w:rsid w:val="001B6E4B"/>
    <w:rsid w:val="001B7ED2"/>
    <w:rsid w:val="002266EB"/>
    <w:rsid w:val="00247F4B"/>
    <w:rsid w:val="00264210"/>
    <w:rsid w:val="002817E9"/>
    <w:rsid w:val="00294DCA"/>
    <w:rsid w:val="00296A89"/>
    <w:rsid w:val="002A25A6"/>
    <w:rsid w:val="002D1B19"/>
    <w:rsid w:val="002D24F7"/>
    <w:rsid w:val="002E15E6"/>
    <w:rsid w:val="002E67C7"/>
    <w:rsid w:val="00302802"/>
    <w:rsid w:val="003578CF"/>
    <w:rsid w:val="003A284E"/>
    <w:rsid w:val="003B0533"/>
    <w:rsid w:val="003B712C"/>
    <w:rsid w:val="003D23C4"/>
    <w:rsid w:val="00415B6D"/>
    <w:rsid w:val="00416268"/>
    <w:rsid w:val="00424F7D"/>
    <w:rsid w:val="004272D2"/>
    <w:rsid w:val="0043228B"/>
    <w:rsid w:val="00440E4B"/>
    <w:rsid w:val="00443856"/>
    <w:rsid w:val="00454F1A"/>
    <w:rsid w:val="00462F9D"/>
    <w:rsid w:val="00476FA7"/>
    <w:rsid w:val="00480B33"/>
    <w:rsid w:val="00482A76"/>
    <w:rsid w:val="0049435E"/>
    <w:rsid w:val="004A4CB6"/>
    <w:rsid w:val="004B3212"/>
    <w:rsid w:val="004B3FEC"/>
    <w:rsid w:val="004D0CB3"/>
    <w:rsid w:val="004F254D"/>
    <w:rsid w:val="005333E2"/>
    <w:rsid w:val="00547C62"/>
    <w:rsid w:val="00583380"/>
    <w:rsid w:val="00583843"/>
    <w:rsid w:val="00587487"/>
    <w:rsid w:val="005945D9"/>
    <w:rsid w:val="005A0405"/>
    <w:rsid w:val="005A044D"/>
    <w:rsid w:val="005D5309"/>
    <w:rsid w:val="005E179C"/>
    <w:rsid w:val="00601EAD"/>
    <w:rsid w:val="00653086"/>
    <w:rsid w:val="006914ED"/>
    <w:rsid w:val="006949C2"/>
    <w:rsid w:val="006A3C62"/>
    <w:rsid w:val="006A4371"/>
    <w:rsid w:val="006A672C"/>
    <w:rsid w:val="006C3170"/>
    <w:rsid w:val="007007EC"/>
    <w:rsid w:val="00700BE7"/>
    <w:rsid w:val="007037AF"/>
    <w:rsid w:val="007122FA"/>
    <w:rsid w:val="00730F0A"/>
    <w:rsid w:val="00741336"/>
    <w:rsid w:val="0076294D"/>
    <w:rsid w:val="0076587A"/>
    <w:rsid w:val="00782A08"/>
    <w:rsid w:val="00784ED6"/>
    <w:rsid w:val="00785180"/>
    <w:rsid w:val="007A1B6C"/>
    <w:rsid w:val="007A2F12"/>
    <w:rsid w:val="007B059F"/>
    <w:rsid w:val="007C49F7"/>
    <w:rsid w:val="007E4A03"/>
    <w:rsid w:val="007E79E3"/>
    <w:rsid w:val="007F5084"/>
    <w:rsid w:val="007F73B7"/>
    <w:rsid w:val="00826614"/>
    <w:rsid w:val="008328AE"/>
    <w:rsid w:val="00836E6F"/>
    <w:rsid w:val="00851C71"/>
    <w:rsid w:val="0085429A"/>
    <w:rsid w:val="00873894"/>
    <w:rsid w:val="008B612B"/>
    <w:rsid w:val="008D7C81"/>
    <w:rsid w:val="008E5969"/>
    <w:rsid w:val="008F0025"/>
    <w:rsid w:val="008F094E"/>
    <w:rsid w:val="008F0B8E"/>
    <w:rsid w:val="009378D0"/>
    <w:rsid w:val="00937ED0"/>
    <w:rsid w:val="00953CEE"/>
    <w:rsid w:val="00960736"/>
    <w:rsid w:val="009653BF"/>
    <w:rsid w:val="0097663F"/>
    <w:rsid w:val="0099774D"/>
    <w:rsid w:val="009A5C33"/>
    <w:rsid w:val="009B43F8"/>
    <w:rsid w:val="009F0D2E"/>
    <w:rsid w:val="009F72A9"/>
    <w:rsid w:val="00A0429B"/>
    <w:rsid w:val="00A134CA"/>
    <w:rsid w:val="00A154A9"/>
    <w:rsid w:val="00A375DF"/>
    <w:rsid w:val="00A579E6"/>
    <w:rsid w:val="00A81482"/>
    <w:rsid w:val="00A931FD"/>
    <w:rsid w:val="00AB7337"/>
    <w:rsid w:val="00AC4170"/>
    <w:rsid w:val="00AE3ED0"/>
    <w:rsid w:val="00AE5227"/>
    <w:rsid w:val="00AF5A7A"/>
    <w:rsid w:val="00B07E97"/>
    <w:rsid w:val="00B30582"/>
    <w:rsid w:val="00B44CE2"/>
    <w:rsid w:val="00B550F4"/>
    <w:rsid w:val="00B65DF6"/>
    <w:rsid w:val="00BA783A"/>
    <w:rsid w:val="00BD523D"/>
    <w:rsid w:val="00BF3A68"/>
    <w:rsid w:val="00BF632A"/>
    <w:rsid w:val="00C14C0C"/>
    <w:rsid w:val="00C20DA5"/>
    <w:rsid w:val="00C219FB"/>
    <w:rsid w:val="00C40413"/>
    <w:rsid w:val="00CA27A0"/>
    <w:rsid w:val="00CD4C80"/>
    <w:rsid w:val="00CD6D8E"/>
    <w:rsid w:val="00CF6DFA"/>
    <w:rsid w:val="00D12E26"/>
    <w:rsid w:val="00D314CC"/>
    <w:rsid w:val="00D34408"/>
    <w:rsid w:val="00D43C71"/>
    <w:rsid w:val="00D73D2F"/>
    <w:rsid w:val="00D83281"/>
    <w:rsid w:val="00D8570B"/>
    <w:rsid w:val="00DC1473"/>
    <w:rsid w:val="00DD455B"/>
    <w:rsid w:val="00DE70B8"/>
    <w:rsid w:val="00DF2E99"/>
    <w:rsid w:val="00DF78D8"/>
    <w:rsid w:val="00E257F4"/>
    <w:rsid w:val="00E544F1"/>
    <w:rsid w:val="00E622FE"/>
    <w:rsid w:val="00E643BA"/>
    <w:rsid w:val="00E7379D"/>
    <w:rsid w:val="00E90533"/>
    <w:rsid w:val="00E917BB"/>
    <w:rsid w:val="00E9321E"/>
    <w:rsid w:val="00EA3452"/>
    <w:rsid w:val="00EB211C"/>
    <w:rsid w:val="00EB63CB"/>
    <w:rsid w:val="00EF075D"/>
    <w:rsid w:val="00F127CA"/>
    <w:rsid w:val="00F17FA5"/>
    <w:rsid w:val="00F35428"/>
    <w:rsid w:val="00F408AB"/>
    <w:rsid w:val="00F57323"/>
    <w:rsid w:val="00F5762E"/>
    <w:rsid w:val="00F70CE9"/>
    <w:rsid w:val="00F833C5"/>
    <w:rsid w:val="00FA1AA9"/>
    <w:rsid w:val="00FC3581"/>
    <w:rsid w:val="00FC6B6E"/>
    <w:rsid w:val="00FE70B4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245ADD"/>
  <w15:docId w15:val="{7C1AB4DA-77C4-48B0-84B8-34B212A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59"/>
    <w:rsid w:val="00BA783A"/>
    <w:pPr>
      <w:spacing w:after="0" w:line="240" w:lineRule="auto"/>
    </w:pPr>
    <w:rPr>
      <w:rFonts w:asciiTheme="minorHAnsi" w:hAnsiTheme="minorHAnsi"/>
      <w:sz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4F25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0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0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84"/>
    <w:rPr>
      <w:rFonts w:ascii="Segoe UI" w:hAnsi="Segoe UI" w:cs="Segoe UI"/>
      <w:sz w:val="18"/>
      <w:szCs w:val="18"/>
      <w:lang w:val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2A08"/>
    <w:rPr>
      <w:rFonts w:ascii="Tahoma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784ED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B211C"/>
    <w:rPr>
      <w:color w:val="00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F412-999D-4B6D-8054-2F2D9446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4014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Budz</dc:creator>
  <cp:lastModifiedBy>Maksymiuk Katarzyna</cp:lastModifiedBy>
  <cp:revision>14</cp:revision>
  <dcterms:created xsi:type="dcterms:W3CDTF">2024-05-15T10:41:00Z</dcterms:created>
  <dcterms:modified xsi:type="dcterms:W3CDTF">2024-09-09T09:01:00Z</dcterms:modified>
</cp:coreProperties>
</file>