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CD7" w14:textId="79E233DE" w:rsidR="00416268" w:rsidRPr="00FF0B64" w:rsidRDefault="00960736" w:rsidP="00416268">
      <w:pPr>
        <w:spacing w:before="120"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0"/>
        </w:rPr>
        <w:t xml:space="preserve">Ministerstwo </w:t>
      </w:r>
      <w:r w:rsidR="00730F0A">
        <w:rPr>
          <w:rFonts w:ascii="Arial" w:hAnsi="Arial" w:cs="Arial"/>
          <w:sz w:val="24"/>
          <w:szCs w:val="20"/>
        </w:rPr>
        <w:t>Edukacji Narodowej</w:t>
      </w:r>
    </w:p>
    <w:p w14:paraId="5D486056" w14:textId="77777777" w:rsidR="00416268" w:rsidRDefault="00416268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14:paraId="3CA4A33A" w14:textId="77777777" w:rsidR="00415B6D" w:rsidRDefault="00DF2E99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Pr="0049435E">
        <w:rPr>
          <w:rFonts w:ascii="Arial" w:hAnsi="Arial" w:cs="Arial"/>
          <w:b/>
          <w:sz w:val="28"/>
          <w:szCs w:val="24"/>
        </w:rPr>
        <w:t xml:space="preserve">ormularz </w:t>
      </w:r>
      <w:r w:rsidR="00F17FA5">
        <w:rPr>
          <w:rFonts w:ascii="Arial" w:hAnsi="Arial" w:cs="Arial"/>
          <w:b/>
          <w:sz w:val="28"/>
          <w:szCs w:val="24"/>
        </w:rPr>
        <w:t>konsultacji z zainteresowanymi środowiskami</w:t>
      </w:r>
    </w:p>
    <w:p w14:paraId="1316B5B3" w14:textId="77777777" w:rsidR="00415B6D" w:rsidRPr="00FF6919" w:rsidRDefault="00415B6D" w:rsidP="00415B6D">
      <w:pPr>
        <w:spacing w:after="0" w:line="360" w:lineRule="auto"/>
        <w:jc w:val="center"/>
        <w:outlineLvl w:val="0"/>
        <w:rPr>
          <w:rFonts w:ascii="Arial" w:hAnsi="Arial" w:cs="Arial"/>
        </w:rPr>
      </w:pPr>
      <w:r w:rsidRPr="00FF6919">
        <w:rPr>
          <w:rFonts w:ascii="Arial" w:hAnsi="Arial" w:cs="Arial"/>
        </w:rPr>
        <w:t xml:space="preserve">wniosku o włączenie do Zintegrowanego Systemu Kwalifikacji, kwalifikacji wolnorynkowej: </w:t>
      </w:r>
    </w:p>
    <w:p w14:paraId="7C3286E2" w14:textId="77777777" w:rsidR="00E51980" w:rsidRDefault="00E51980" w:rsidP="00730F0A">
      <w:pPr>
        <w:spacing w:after="0" w:line="360" w:lineRule="auto"/>
        <w:jc w:val="center"/>
        <w:outlineLvl w:val="0"/>
        <w:rPr>
          <w:rFonts w:ascii="Arial" w:hAnsi="Arial" w:cs="Arial"/>
          <w:b/>
          <w:i/>
        </w:rPr>
      </w:pPr>
      <w:r w:rsidRPr="00E51980">
        <w:rPr>
          <w:rFonts w:ascii="Arial" w:hAnsi="Arial" w:cs="Arial"/>
          <w:b/>
          <w:i/>
        </w:rPr>
        <w:t>Prowadzenie zajęć z powszechnej dwujęzyczności w zakresie języka angielskiego</w:t>
      </w:r>
    </w:p>
    <w:p w14:paraId="69454E65" w14:textId="35EDBB2D" w:rsidR="00415B6D" w:rsidRPr="00730F0A" w:rsidRDefault="00415B6D" w:rsidP="00730F0A">
      <w:pPr>
        <w:spacing w:after="0" w:line="360" w:lineRule="auto"/>
        <w:jc w:val="center"/>
        <w:outlineLvl w:val="0"/>
        <w:rPr>
          <w:rFonts w:ascii="Arial" w:hAnsi="Arial" w:cs="Arial"/>
          <w:b/>
          <w:i/>
        </w:rPr>
      </w:pPr>
      <w:r w:rsidRPr="00FF6919">
        <w:rPr>
          <w:rFonts w:ascii="Arial" w:hAnsi="Arial" w:cs="Arial"/>
        </w:rPr>
        <w:t xml:space="preserve">złożonego przez </w:t>
      </w:r>
    </w:p>
    <w:p w14:paraId="07EC688C" w14:textId="77777777" w:rsidR="00E51980" w:rsidRDefault="00E51980" w:rsidP="00415B6D">
      <w:pPr>
        <w:spacing w:after="0" w:line="360" w:lineRule="auto"/>
        <w:jc w:val="center"/>
        <w:outlineLvl w:val="0"/>
        <w:rPr>
          <w:rFonts w:ascii="Arial" w:hAnsi="Arial" w:cs="Arial"/>
        </w:rPr>
      </w:pPr>
      <w:r w:rsidRPr="00E51980">
        <w:rPr>
          <w:rFonts w:ascii="Arial" w:hAnsi="Arial" w:cs="Arial"/>
        </w:rPr>
        <w:t>Yellow House Education SA</w:t>
      </w:r>
    </w:p>
    <w:p w14:paraId="2290FC1A" w14:textId="5DAE6F30" w:rsidR="00415B6D" w:rsidRPr="00FF6919" w:rsidRDefault="00415B6D" w:rsidP="00415B6D">
      <w:pPr>
        <w:spacing w:after="0" w:line="360" w:lineRule="auto"/>
        <w:jc w:val="center"/>
        <w:outlineLvl w:val="0"/>
        <w:rPr>
          <w:rFonts w:ascii="Arial" w:hAnsi="Arial" w:cs="Arial"/>
        </w:rPr>
      </w:pPr>
      <w:r w:rsidRPr="00FF6919">
        <w:rPr>
          <w:rFonts w:ascii="Arial" w:hAnsi="Arial" w:cs="Arial"/>
        </w:rPr>
        <w:t>konsultacje środowiskowe –</w:t>
      </w:r>
    </w:p>
    <w:p w14:paraId="2F243BC7" w14:textId="77777777" w:rsidR="00415B6D" w:rsidRPr="00FF6919" w:rsidRDefault="00415B6D" w:rsidP="00415B6D">
      <w:pPr>
        <w:spacing w:after="0" w:line="36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F6919">
        <w:rPr>
          <w:rFonts w:ascii="Arial" w:hAnsi="Arial" w:cs="Arial"/>
          <w:sz w:val="20"/>
          <w:szCs w:val="20"/>
        </w:rPr>
        <w:t>Konsultacje są prowadzone zgodnie z art. 19 ust. 2 ustawy z dnia 22 grudnia 2015 r. o Zintegrowanym Systemie Kwalifikacji (Dz. U. 2020 r. poz. 226, z późn. zm.)</w:t>
      </w:r>
    </w:p>
    <w:p w14:paraId="1C15FBF7" w14:textId="77777777" w:rsidR="00E9321E" w:rsidRDefault="00E9321E" w:rsidP="00DF2E99">
      <w:pPr>
        <w:jc w:val="center"/>
        <w:rPr>
          <w:rFonts w:ascii="Arial" w:hAnsi="Arial" w:cs="Arial"/>
        </w:rPr>
      </w:pPr>
    </w:p>
    <w:p w14:paraId="126FEED3" w14:textId="77777777" w:rsidR="00FF6919" w:rsidRPr="00102F7E" w:rsidRDefault="00FF6919" w:rsidP="00A579E6">
      <w:pPr>
        <w:spacing w:after="0"/>
        <w:ind w:left="720" w:firstLine="720"/>
        <w:rPr>
          <w:rFonts w:ascii="Arial" w:hAnsi="Arial" w:cs="Arial"/>
          <w:b/>
          <w:i/>
          <w:sz w:val="18"/>
          <w:szCs w:val="20"/>
        </w:rPr>
      </w:pPr>
      <w:r w:rsidRPr="00102F7E">
        <w:rPr>
          <w:rFonts w:ascii="Arial" w:hAnsi="Arial" w:cs="Arial"/>
          <w:b/>
          <w:i/>
          <w:sz w:val="18"/>
          <w:szCs w:val="20"/>
        </w:rPr>
        <w:t>Informacje kontaktowe:</w:t>
      </w:r>
    </w:p>
    <w:tbl>
      <w:tblPr>
        <w:tblStyle w:val="Tabela-Siatka"/>
        <w:tblW w:w="4000" w:type="pct"/>
        <w:jc w:val="center"/>
        <w:tblLook w:val="04A0" w:firstRow="1" w:lastRow="0" w:firstColumn="1" w:lastColumn="0" w:noHBand="0" w:noVBand="1"/>
      </w:tblPr>
      <w:tblGrid>
        <w:gridCol w:w="2689"/>
        <w:gridCol w:w="8505"/>
      </w:tblGrid>
      <w:tr w:rsidR="00FF6919" w:rsidRPr="00C66BAE" w14:paraId="532D29F4" w14:textId="77777777" w:rsidTr="00A579E6">
        <w:trPr>
          <w:trHeight w:val="535"/>
          <w:jc w:val="center"/>
        </w:trPr>
        <w:tc>
          <w:tcPr>
            <w:tcW w:w="1201" w:type="pct"/>
            <w:shd w:val="clear" w:color="auto" w:fill="F2F2F2" w:themeFill="background1" w:themeFillShade="F2"/>
            <w:vAlign w:val="center"/>
          </w:tcPr>
          <w:p w14:paraId="6B29E20D" w14:textId="77777777" w:rsidR="00FF6919" w:rsidRPr="00FF6919" w:rsidRDefault="00A579E6" w:rsidP="00A579E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</w:t>
            </w:r>
            <w:r w:rsidR="00FF6919" w:rsidRPr="00FF6919">
              <w:rPr>
                <w:sz w:val="20"/>
                <w:szCs w:val="20"/>
              </w:rPr>
              <w:t>isko</w:t>
            </w:r>
          </w:p>
        </w:tc>
        <w:tc>
          <w:tcPr>
            <w:tcW w:w="3799" w:type="pct"/>
            <w:shd w:val="clear" w:color="auto" w:fill="auto"/>
            <w:vAlign w:val="center"/>
          </w:tcPr>
          <w:p w14:paraId="40D1FEEA" w14:textId="77777777" w:rsidR="00FF6919" w:rsidRPr="006C3170" w:rsidRDefault="00FF6919" w:rsidP="00A579E6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FF6919" w:rsidRPr="00C66BAE" w14:paraId="03A6E530" w14:textId="77777777" w:rsidTr="00A579E6">
        <w:trPr>
          <w:trHeight w:val="646"/>
          <w:jc w:val="center"/>
        </w:trPr>
        <w:tc>
          <w:tcPr>
            <w:tcW w:w="1201" w:type="pct"/>
            <w:shd w:val="clear" w:color="auto" w:fill="F2F2F2" w:themeFill="background1" w:themeFillShade="F2"/>
            <w:vAlign w:val="center"/>
          </w:tcPr>
          <w:p w14:paraId="06AF5268" w14:textId="77777777" w:rsidR="00FF6919" w:rsidRPr="00FF6919" w:rsidRDefault="00FF6919" w:rsidP="00A579E6">
            <w:pPr>
              <w:spacing w:after="0"/>
              <w:rPr>
                <w:sz w:val="20"/>
                <w:szCs w:val="20"/>
              </w:rPr>
            </w:pPr>
            <w:r w:rsidRPr="00FF6919">
              <w:rPr>
                <w:sz w:val="20"/>
                <w:szCs w:val="20"/>
              </w:rPr>
              <w:t>Instytucja / Organizacja wyrażająca opinię</w:t>
            </w:r>
          </w:p>
        </w:tc>
        <w:tc>
          <w:tcPr>
            <w:tcW w:w="3799" w:type="pct"/>
            <w:shd w:val="clear" w:color="auto" w:fill="auto"/>
            <w:vAlign w:val="center"/>
          </w:tcPr>
          <w:p w14:paraId="0EF90E51" w14:textId="77777777" w:rsidR="00FF6919" w:rsidRPr="006C3170" w:rsidRDefault="00FF6919" w:rsidP="00A579E6">
            <w:pPr>
              <w:spacing w:after="0"/>
              <w:rPr>
                <w:sz w:val="20"/>
                <w:szCs w:val="20"/>
              </w:rPr>
            </w:pPr>
          </w:p>
        </w:tc>
      </w:tr>
      <w:tr w:rsidR="00FF6919" w:rsidRPr="00C66BAE" w14:paraId="52960148" w14:textId="77777777" w:rsidTr="00A579E6">
        <w:trPr>
          <w:trHeight w:val="754"/>
          <w:jc w:val="center"/>
        </w:trPr>
        <w:tc>
          <w:tcPr>
            <w:tcW w:w="12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318E9" w14:textId="77777777" w:rsidR="00A579E6" w:rsidRDefault="00FF6919" w:rsidP="00A579E6">
            <w:pPr>
              <w:spacing w:after="120"/>
              <w:rPr>
                <w:sz w:val="20"/>
                <w:szCs w:val="20"/>
              </w:rPr>
            </w:pPr>
            <w:r w:rsidRPr="00FF6919">
              <w:rPr>
                <w:sz w:val="20"/>
                <w:szCs w:val="20"/>
              </w:rPr>
              <w:t>Adres</w:t>
            </w:r>
          </w:p>
          <w:p w14:paraId="55CF7E81" w14:textId="77777777" w:rsidR="00FF6919" w:rsidRPr="00A579E6" w:rsidRDefault="00FF6919" w:rsidP="00A579E6">
            <w:pPr>
              <w:spacing w:after="0"/>
              <w:rPr>
                <w:i/>
                <w:sz w:val="20"/>
                <w:szCs w:val="20"/>
              </w:rPr>
            </w:pPr>
            <w:r w:rsidRPr="00A579E6">
              <w:rPr>
                <w:i/>
                <w:sz w:val="16"/>
                <w:szCs w:val="16"/>
              </w:rPr>
              <w:t>(tylko w przypadku instytucji/organizacji)</w:t>
            </w:r>
          </w:p>
        </w:tc>
        <w:tc>
          <w:tcPr>
            <w:tcW w:w="37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50F3B" w14:textId="77777777" w:rsidR="00FF6919" w:rsidRPr="006C3170" w:rsidRDefault="00FF6919" w:rsidP="00A579E6">
            <w:pPr>
              <w:spacing w:after="0"/>
              <w:rPr>
                <w:sz w:val="20"/>
                <w:szCs w:val="20"/>
              </w:rPr>
            </w:pPr>
          </w:p>
        </w:tc>
      </w:tr>
      <w:tr w:rsidR="00FF6919" w:rsidRPr="00C66BAE" w14:paraId="68EE5246" w14:textId="77777777" w:rsidTr="00A579E6">
        <w:trPr>
          <w:trHeight w:val="552"/>
          <w:jc w:val="center"/>
        </w:trPr>
        <w:tc>
          <w:tcPr>
            <w:tcW w:w="1201" w:type="pct"/>
            <w:shd w:val="clear" w:color="auto" w:fill="F2F2F2" w:themeFill="background1" w:themeFillShade="F2"/>
            <w:vAlign w:val="center"/>
          </w:tcPr>
          <w:p w14:paraId="5FBBFF7F" w14:textId="77777777" w:rsidR="00FF6919" w:rsidRPr="00FF6919" w:rsidRDefault="00FF6919" w:rsidP="00A579E6">
            <w:pPr>
              <w:spacing w:after="0"/>
              <w:rPr>
                <w:sz w:val="20"/>
                <w:szCs w:val="20"/>
              </w:rPr>
            </w:pPr>
            <w:r w:rsidRPr="00FF6919">
              <w:rPr>
                <w:sz w:val="20"/>
                <w:szCs w:val="20"/>
              </w:rPr>
              <w:t>Telefon</w:t>
            </w:r>
          </w:p>
        </w:tc>
        <w:tc>
          <w:tcPr>
            <w:tcW w:w="3799" w:type="pct"/>
            <w:shd w:val="clear" w:color="auto" w:fill="auto"/>
            <w:vAlign w:val="center"/>
          </w:tcPr>
          <w:p w14:paraId="4A458AE5" w14:textId="77777777" w:rsidR="00FF6919" w:rsidRPr="006C3170" w:rsidRDefault="00FF6919" w:rsidP="00A579E6">
            <w:pPr>
              <w:spacing w:after="0"/>
              <w:rPr>
                <w:sz w:val="20"/>
                <w:szCs w:val="20"/>
              </w:rPr>
            </w:pPr>
          </w:p>
        </w:tc>
      </w:tr>
      <w:tr w:rsidR="00FF6919" w:rsidRPr="00C66BAE" w14:paraId="5378EAF3" w14:textId="77777777" w:rsidTr="00A579E6">
        <w:trPr>
          <w:trHeight w:val="514"/>
          <w:jc w:val="center"/>
        </w:trPr>
        <w:tc>
          <w:tcPr>
            <w:tcW w:w="12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73487" w14:textId="77777777" w:rsidR="00FF6919" w:rsidRPr="00FF6919" w:rsidRDefault="00FF6919" w:rsidP="00A579E6">
            <w:pPr>
              <w:spacing w:after="0"/>
              <w:rPr>
                <w:sz w:val="20"/>
                <w:szCs w:val="20"/>
              </w:rPr>
            </w:pPr>
            <w:r w:rsidRPr="00FF6919">
              <w:rPr>
                <w:sz w:val="20"/>
                <w:szCs w:val="20"/>
              </w:rPr>
              <w:t>e-mail</w:t>
            </w:r>
          </w:p>
        </w:tc>
        <w:tc>
          <w:tcPr>
            <w:tcW w:w="37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E480" w14:textId="77777777" w:rsidR="00FF6919" w:rsidRPr="006C3170" w:rsidRDefault="00FF6919" w:rsidP="00A579E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0DA4E35" w14:textId="77777777" w:rsidR="00FF6919" w:rsidRDefault="00FF6919" w:rsidP="009A5C33">
      <w:pPr>
        <w:spacing w:before="240" w:after="240"/>
        <w:jc w:val="center"/>
        <w:rPr>
          <w:b/>
          <w:sz w:val="28"/>
          <w:szCs w:val="28"/>
        </w:rPr>
      </w:pPr>
    </w:p>
    <w:p w14:paraId="31F7309B" w14:textId="77777777" w:rsidR="00D314CC" w:rsidRDefault="00547C62" w:rsidP="009A5C33">
      <w:pPr>
        <w:spacing w:before="240" w:after="240"/>
        <w:jc w:val="center"/>
        <w:rPr>
          <w:b/>
          <w:sz w:val="28"/>
          <w:szCs w:val="28"/>
        </w:rPr>
      </w:pPr>
      <w:r w:rsidRPr="00007547">
        <w:rPr>
          <w:b/>
          <w:sz w:val="28"/>
          <w:szCs w:val="28"/>
        </w:rPr>
        <w:lastRenderedPageBreak/>
        <w:t>Uwagi do wybranych pól wniosku</w:t>
      </w:r>
    </w:p>
    <w:tbl>
      <w:tblPr>
        <w:tblStyle w:val="Tabela-Siatka"/>
        <w:tblW w:w="5370" w:type="pct"/>
        <w:tblInd w:w="-431" w:type="dxa"/>
        <w:tblLook w:val="04A0" w:firstRow="1" w:lastRow="0" w:firstColumn="1" w:lastColumn="0" w:noHBand="0" w:noVBand="1"/>
      </w:tblPr>
      <w:tblGrid>
        <w:gridCol w:w="517"/>
        <w:gridCol w:w="8589"/>
        <w:gridCol w:w="5921"/>
      </w:tblGrid>
      <w:tr w:rsidR="00264210" w:rsidRPr="002D24F7" w14:paraId="3C735202" w14:textId="77777777" w:rsidTr="00062621">
        <w:trPr>
          <w:trHeight w:val="737"/>
        </w:trPr>
        <w:tc>
          <w:tcPr>
            <w:tcW w:w="172" w:type="pct"/>
            <w:shd w:val="clear" w:color="auto" w:fill="F2F2F2" w:themeFill="background1" w:themeFillShade="F2"/>
            <w:vAlign w:val="center"/>
          </w:tcPr>
          <w:p w14:paraId="73106C9E" w14:textId="77777777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58" w:type="pct"/>
            <w:shd w:val="clear" w:color="auto" w:fill="F2F2F2" w:themeFill="background1" w:themeFillShade="F2"/>
            <w:vAlign w:val="center"/>
          </w:tcPr>
          <w:p w14:paraId="5823E015" w14:textId="77777777" w:rsidR="00264210" w:rsidRPr="002D24F7" w:rsidRDefault="00264210" w:rsidP="00264210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Wybrane pole wniosku</w:t>
            </w:r>
          </w:p>
        </w:tc>
        <w:tc>
          <w:tcPr>
            <w:tcW w:w="1970" w:type="pct"/>
            <w:shd w:val="clear" w:color="auto" w:fill="F2F2F2" w:themeFill="background1" w:themeFillShade="F2"/>
            <w:vAlign w:val="center"/>
          </w:tcPr>
          <w:p w14:paraId="73587B0A" w14:textId="77777777" w:rsidR="00264210" w:rsidRPr="002D24F7" w:rsidRDefault="00264210" w:rsidP="00264210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Treść zgłoszonej opinii</w:t>
            </w:r>
          </w:p>
          <w:p w14:paraId="247520AD" w14:textId="77777777" w:rsidR="00264210" w:rsidRPr="002D24F7" w:rsidRDefault="00264210" w:rsidP="00264210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(propozycja zmiany, komentarz)</w:t>
            </w:r>
          </w:p>
        </w:tc>
      </w:tr>
      <w:tr w:rsidR="00264210" w:rsidRPr="002D24F7" w14:paraId="3D97F058" w14:textId="77777777" w:rsidTr="00062621">
        <w:trPr>
          <w:trHeight w:val="737"/>
        </w:trPr>
        <w:tc>
          <w:tcPr>
            <w:tcW w:w="172" w:type="pct"/>
            <w:vAlign w:val="center"/>
          </w:tcPr>
          <w:p w14:paraId="2F1DE34E" w14:textId="77777777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1.</w:t>
            </w:r>
          </w:p>
          <w:p w14:paraId="28A5F33D" w14:textId="77777777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8" w:type="pct"/>
            <w:vAlign w:val="center"/>
          </w:tcPr>
          <w:p w14:paraId="01714514" w14:textId="145089D1" w:rsidR="00264210" w:rsidRPr="002D24F7" w:rsidRDefault="00264210" w:rsidP="00587487">
            <w:pPr>
              <w:spacing w:after="0" w:line="360" w:lineRule="auto"/>
              <w:outlineLvl w:val="0"/>
              <w:rPr>
                <w:rFonts w:cstheme="minorHAnsi"/>
                <w:i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kwalifikacji</w:t>
            </w:r>
            <w:r w:rsidR="00587487" w:rsidRPr="002D24F7">
              <w:rPr>
                <w:rFonts w:cstheme="minorHAnsi"/>
                <w:b/>
                <w:sz w:val="18"/>
                <w:szCs w:val="18"/>
              </w:rPr>
              <w:t>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sz w:val="18"/>
                <w:szCs w:val="18"/>
              </w:rPr>
              <w:t>Prowadzenie zajęć z powszechnej dwujęzyczności w zakresie języka angielskiego</w:t>
            </w:r>
          </w:p>
          <w:p w14:paraId="7173C28A" w14:textId="147FDEAC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Skrót nazwy</w:t>
            </w:r>
            <w:r w:rsidR="00587487" w:rsidRPr="002D24F7">
              <w:rPr>
                <w:rFonts w:cstheme="minorHAnsi"/>
                <w:b/>
                <w:sz w:val="18"/>
                <w:szCs w:val="18"/>
              </w:rPr>
              <w:t>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sz w:val="18"/>
                <w:szCs w:val="18"/>
              </w:rPr>
              <w:t>Wychowywanie w powszechnej dwujęzyczności</w:t>
            </w:r>
          </w:p>
        </w:tc>
        <w:tc>
          <w:tcPr>
            <w:tcW w:w="1970" w:type="pct"/>
            <w:vAlign w:val="center"/>
          </w:tcPr>
          <w:p w14:paraId="00FB23C5" w14:textId="77777777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264210" w:rsidRPr="002D24F7" w14:paraId="1C6C5B6E" w14:textId="77777777" w:rsidTr="00062621">
        <w:trPr>
          <w:trHeight w:val="389"/>
        </w:trPr>
        <w:tc>
          <w:tcPr>
            <w:tcW w:w="172" w:type="pct"/>
            <w:vAlign w:val="center"/>
          </w:tcPr>
          <w:p w14:paraId="08EC2728" w14:textId="77777777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858" w:type="pct"/>
            <w:vAlign w:val="center"/>
          </w:tcPr>
          <w:p w14:paraId="66A6D789" w14:textId="215008D0" w:rsidR="00264210" w:rsidRPr="002D24F7" w:rsidRDefault="00587487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Proponowany poziom Polskiej Ramy Kwalifikacji:</w:t>
            </w:r>
            <w:r w:rsidR="00E51980">
              <w:rPr>
                <w:rFonts w:cstheme="minorHAnsi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970" w:type="pct"/>
            <w:vAlign w:val="center"/>
          </w:tcPr>
          <w:p w14:paraId="29A790D7" w14:textId="77777777" w:rsidR="00264210" w:rsidRPr="002D24F7" w:rsidRDefault="00264210" w:rsidP="00416268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587487" w:rsidRPr="002D24F7" w14:paraId="16CF723E" w14:textId="77777777" w:rsidTr="00062621">
        <w:trPr>
          <w:trHeight w:val="452"/>
        </w:trPr>
        <w:tc>
          <w:tcPr>
            <w:tcW w:w="172" w:type="pct"/>
            <w:vAlign w:val="center"/>
          </w:tcPr>
          <w:p w14:paraId="03FC3DD7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858" w:type="pct"/>
            <w:vAlign w:val="center"/>
          </w:tcPr>
          <w:p w14:paraId="7EDD2164" w14:textId="4D9D2701" w:rsidR="00587487" w:rsidRPr="002D24F7" w:rsidRDefault="0097663F" w:rsidP="00B65DF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Sektorowej Ramy Kwalifikacji:</w:t>
            </w:r>
          </w:p>
        </w:tc>
        <w:tc>
          <w:tcPr>
            <w:tcW w:w="1970" w:type="pct"/>
            <w:vAlign w:val="center"/>
          </w:tcPr>
          <w:p w14:paraId="0456F3B1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587487" w:rsidRPr="002D24F7" w14:paraId="5B094C94" w14:textId="77777777" w:rsidTr="00062621">
        <w:trPr>
          <w:trHeight w:val="502"/>
        </w:trPr>
        <w:tc>
          <w:tcPr>
            <w:tcW w:w="172" w:type="pct"/>
            <w:vAlign w:val="center"/>
          </w:tcPr>
          <w:p w14:paraId="2F5E7D0E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 xml:space="preserve">4. </w:t>
            </w:r>
          </w:p>
        </w:tc>
        <w:tc>
          <w:tcPr>
            <w:tcW w:w="2858" w:type="pct"/>
            <w:vAlign w:val="center"/>
          </w:tcPr>
          <w:p w14:paraId="56F05555" w14:textId="41122C34" w:rsidR="00587487" w:rsidRPr="002D24F7" w:rsidRDefault="0097663F" w:rsidP="00480B33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Proponowany poziom Sektorowej Ramy Kwalifikacji:</w:t>
            </w:r>
            <w:r w:rsidR="00480B33" w:rsidRPr="002D24F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0" w:type="pct"/>
            <w:vAlign w:val="center"/>
          </w:tcPr>
          <w:p w14:paraId="5D067026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97663F" w:rsidRPr="002D24F7" w14:paraId="2E70A590" w14:textId="77777777" w:rsidTr="00062621">
        <w:trPr>
          <w:trHeight w:val="737"/>
        </w:trPr>
        <w:tc>
          <w:tcPr>
            <w:tcW w:w="172" w:type="pct"/>
            <w:vAlign w:val="center"/>
          </w:tcPr>
          <w:p w14:paraId="0ECB9D64" w14:textId="77777777" w:rsidR="0097663F" w:rsidRPr="002D24F7" w:rsidRDefault="0097663F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858" w:type="pct"/>
            <w:vAlign w:val="center"/>
          </w:tcPr>
          <w:p w14:paraId="0DD09CC5" w14:textId="77777777" w:rsidR="0097663F" w:rsidRDefault="0097663F" w:rsidP="00E51980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Podstawowe informacje o kwalifikacji:</w:t>
            </w:r>
            <w:r w:rsidR="00480B33" w:rsidRPr="002D24F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bCs/>
                <w:sz w:val="18"/>
                <w:szCs w:val="18"/>
              </w:rPr>
              <w:t>Osoba posiadająca kwalifikację jest przygotowana do prowadzenia zajęć zgodnie z metodyką Spiral Language System (SLS).</w:t>
            </w:r>
            <w:r w:rsidR="00E5198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bCs/>
                <w:sz w:val="18"/>
                <w:szCs w:val="18"/>
              </w:rPr>
              <w:t>Animuje pracę dzieci, aranżuje i przygotowuje przestrzeń, w której pracują dzieci w żłobkach, przedszkolach, świetlicach, klasach</w:t>
            </w:r>
            <w:r w:rsidR="00E5198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bCs/>
                <w:sz w:val="18"/>
                <w:szCs w:val="18"/>
              </w:rPr>
              <w:t>I- III szkoły podstawowej, w środowisku domowym w celu prowadzenia zajęć z powszechnej dwujęzyczności. Zna i wykorzystuje</w:t>
            </w:r>
            <w:r w:rsidR="00E5198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bCs/>
                <w:sz w:val="18"/>
                <w:szCs w:val="18"/>
              </w:rPr>
              <w:t>odpowiednie materiały dydaktyczne do pracy z uczniami. Wspiera inne osoby, które chcą stosować metodykę SLS. Posiadacz</w:t>
            </w:r>
            <w:r w:rsidR="00E5198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bCs/>
                <w:sz w:val="18"/>
                <w:szCs w:val="18"/>
              </w:rPr>
              <w:t>kwalifikacji jest także przygotowany do współpracy z rodzicami, udzielania wskazówek, kierowania i motywowania do ciągłego</w:t>
            </w:r>
            <w:r w:rsidR="00E5198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bCs/>
                <w:sz w:val="18"/>
                <w:szCs w:val="18"/>
              </w:rPr>
              <w:t>stosowania dwujęzyczności w środowisku domowym. Kwalifikacja może być przydatna osobom zawodowo zajmującym się opieką</w:t>
            </w:r>
            <w:r w:rsidR="00E5198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bCs/>
                <w:sz w:val="18"/>
                <w:szCs w:val="18"/>
              </w:rPr>
              <w:t>nad dziećmi, ich wychowaniem i nauczaniem.</w:t>
            </w:r>
          </w:p>
          <w:p w14:paraId="6ADEE971" w14:textId="77777777" w:rsidR="00E51980" w:rsidRPr="00E51980" w:rsidRDefault="00E51980" w:rsidP="00E51980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t>Osoby, które mogą być zainteresowane uzyskaniem kwalifikacji, to:</w:t>
            </w:r>
          </w:p>
          <w:p w14:paraId="04AE8A37" w14:textId="77777777" w:rsidR="00E51980" w:rsidRPr="00E51980" w:rsidRDefault="00E51980" w:rsidP="00E51980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t>- nauczyciele wychowania przedszkolnego i edukacji wczesnoszkolnej,</w:t>
            </w:r>
          </w:p>
          <w:p w14:paraId="36F924B1" w14:textId="77777777" w:rsidR="00E51980" w:rsidRPr="00E51980" w:rsidRDefault="00E51980" w:rsidP="00E51980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t>- osoby sprawujące opiekę w żłobkach lub klubach malucha</w:t>
            </w:r>
          </w:p>
          <w:p w14:paraId="43505797" w14:textId="4874A054" w:rsidR="00E51980" w:rsidRPr="00E51980" w:rsidRDefault="00E51980" w:rsidP="00E51980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t>- wolontariusze oraz osoby pracujące w świetlicach środowiskowych oraz w innych miejscach wspierających edukację i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51980">
              <w:rPr>
                <w:rFonts w:cstheme="minorHAnsi"/>
                <w:bCs/>
                <w:sz w:val="18"/>
                <w:szCs w:val="18"/>
              </w:rPr>
              <w:t>wychowanie,</w:t>
            </w:r>
          </w:p>
          <w:p w14:paraId="7C3D1385" w14:textId="77777777" w:rsidR="00E51980" w:rsidRPr="00E51980" w:rsidRDefault="00E51980" w:rsidP="00E51980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t>osoby podejmujące się opieki nad dziećmi w domach rodzinnych, np. opiekunki dziecięce,</w:t>
            </w:r>
          </w:p>
          <w:p w14:paraId="4E22C316" w14:textId="77777777" w:rsidR="00E51980" w:rsidRPr="00E51980" w:rsidRDefault="00E51980" w:rsidP="00E51980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t>- rodzice/opiekunowie prawni, w tym rodzice prowadzący edukację domową,</w:t>
            </w:r>
          </w:p>
          <w:p w14:paraId="56658211" w14:textId="184D9D5D" w:rsidR="00E51980" w:rsidRPr="00E51980" w:rsidRDefault="00E51980" w:rsidP="00E51980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lastRenderedPageBreak/>
              <w:t>- osoby zawodowo zajmujące się opieką nad dziećmi i młodzieżą, ich wychowaniem i nauczaniem, które chcą wzbogacić swój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51980">
              <w:rPr>
                <w:rFonts w:cstheme="minorHAnsi"/>
                <w:bCs/>
                <w:sz w:val="18"/>
                <w:szCs w:val="18"/>
              </w:rPr>
              <w:t>zasób metod wykorzystywanych w pracy.</w:t>
            </w:r>
          </w:p>
          <w:p w14:paraId="0F3BA736" w14:textId="77777777" w:rsidR="00E51980" w:rsidRPr="00E51980" w:rsidRDefault="00E51980" w:rsidP="00E51980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t>Osoba posiadająca tę kwalifikację będzie mogła wykorzystać potwierdzone umiejętności w pracy jako:</w:t>
            </w:r>
          </w:p>
          <w:p w14:paraId="7E8A7EB5" w14:textId="77777777" w:rsidR="00E51980" w:rsidRPr="00E51980" w:rsidRDefault="00E51980" w:rsidP="00E51980">
            <w:pPr>
              <w:spacing w:before="120" w:after="12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t>- nauczyciel wychowania przedszkolnego i wczesnoszkolnego</w:t>
            </w:r>
          </w:p>
          <w:p w14:paraId="222BD985" w14:textId="77777777" w:rsidR="00E51980" w:rsidRPr="00E51980" w:rsidRDefault="00E51980" w:rsidP="00E51980">
            <w:pPr>
              <w:spacing w:before="120" w:after="12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t>- nauczyciel wspierający</w:t>
            </w:r>
          </w:p>
          <w:p w14:paraId="07448F39" w14:textId="77777777" w:rsidR="00E51980" w:rsidRPr="00E51980" w:rsidRDefault="00E51980" w:rsidP="00E51980">
            <w:pPr>
              <w:spacing w:before="120" w:after="12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t>- wychowawca</w:t>
            </w:r>
          </w:p>
          <w:p w14:paraId="6C373141" w14:textId="77777777" w:rsidR="00E51980" w:rsidRPr="00E51980" w:rsidRDefault="00E51980" w:rsidP="00E51980">
            <w:pPr>
              <w:spacing w:before="120" w:after="12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t>- opiekun w żłobku</w:t>
            </w:r>
          </w:p>
          <w:p w14:paraId="1C69899F" w14:textId="77777777" w:rsidR="00E51980" w:rsidRPr="00E51980" w:rsidRDefault="00E51980" w:rsidP="00E51980">
            <w:pPr>
              <w:spacing w:before="120" w:after="12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t>- wolontariusz</w:t>
            </w:r>
          </w:p>
          <w:p w14:paraId="4622699D" w14:textId="17D147BF" w:rsidR="00E51980" w:rsidRPr="002D24F7" w:rsidRDefault="00E51980" w:rsidP="00E51980">
            <w:pPr>
              <w:spacing w:before="120" w:after="12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51980">
              <w:rPr>
                <w:rFonts w:cstheme="minorHAnsi"/>
                <w:bCs/>
                <w:sz w:val="18"/>
                <w:szCs w:val="18"/>
              </w:rPr>
              <w:t>- osoba szerząca idę dwujęzyczności realizowanej zgodnie z metodyką SLS</w:t>
            </w:r>
          </w:p>
        </w:tc>
        <w:tc>
          <w:tcPr>
            <w:tcW w:w="1970" w:type="pct"/>
            <w:vAlign w:val="center"/>
          </w:tcPr>
          <w:p w14:paraId="313A8E44" w14:textId="77777777" w:rsidR="0097663F" w:rsidRPr="002D24F7" w:rsidRDefault="0097663F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587487" w:rsidRPr="002D24F7" w14:paraId="75D7AAE6" w14:textId="77777777" w:rsidTr="00062621">
        <w:trPr>
          <w:trHeight w:val="517"/>
        </w:trPr>
        <w:tc>
          <w:tcPr>
            <w:tcW w:w="172" w:type="pct"/>
            <w:vAlign w:val="center"/>
          </w:tcPr>
          <w:p w14:paraId="328C5D81" w14:textId="77777777" w:rsidR="00587487" w:rsidRPr="002D24F7" w:rsidRDefault="0097663F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6</w:t>
            </w:r>
            <w:r w:rsidR="00587487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4DEBEFAF" w14:textId="442C57F5" w:rsidR="0097663F" w:rsidRPr="002D24F7" w:rsidRDefault="0097663F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Objętość kwalifikacji [w godz.]: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E51980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970" w:type="pct"/>
            <w:vAlign w:val="center"/>
          </w:tcPr>
          <w:p w14:paraId="6F56F3E6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587487" w:rsidRPr="002D24F7" w14:paraId="7A041F0F" w14:textId="77777777" w:rsidTr="00062621">
        <w:trPr>
          <w:trHeight w:val="737"/>
        </w:trPr>
        <w:tc>
          <w:tcPr>
            <w:tcW w:w="172" w:type="pct"/>
            <w:vAlign w:val="center"/>
          </w:tcPr>
          <w:p w14:paraId="6DC42C91" w14:textId="77777777" w:rsidR="00587487" w:rsidRPr="002D24F7" w:rsidRDefault="0097663F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7</w:t>
            </w:r>
            <w:r w:rsidR="00587487" w:rsidRPr="002D24F7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858" w:type="pct"/>
            <w:vAlign w:val="center"/>
          </w:tcPr>
          <w:p w14:paraId="19EEAFFD" w14:textId="1CAA8865" w:rsidR="00587487" w:rsidRPr="002D24F7" w:rsidRDefault="0097663F" w:rsidP="00E51980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Syntetyczna charakterystyka efektów uczenia się: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sz w:val="18"/>
                <w:szCs w:val="18"/>
              </w:rPr>
              <w:t>Osoba posiadająca kwalifikację dysponuje szczegółową wiedzę na temat teoretycznych podstaw wychowania w dwujęzyczności</w:t>
            </w:r>
            <w:r w:rsidR="00E51980">
              <w:rPr>
                <w:rFonts w:cstheme="minorHAnsi"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sz w:val="18"/>
                <w:szCs w:val="18"/>
              </w:rPr>
              <w:t>w zakresie planowania i efektywnego prowadzenia zajęć z zastosowaniem metodyki SLS. Dodatkowo, osoba z taką kwalifikacją</w:t>
            </w:r>
            <w:r w:rsidR="00E51980">
              <w:rPr>
                <w:rFonts w:cstheme="minorHAnsi"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sz w:val="18"/>
                <w:szCs w:val="18"/>
              </w:rPr>
              <w:t>ma umiejętność efektywnego stosowania ewaluacji w swojej pracy, monitoruje postępy dzieci, w razie konieczności modyfikuje</w:t>
            </w:r>
            <w:r w:rsidR="00E51980">
              <w:rPr>
                <w:rFonts w:cstheme="minorHAnsi"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sz w:val="18"/>
                <w:szCs w:val="18"/>
              </w:rPr>
              <w:t>swoje działania, aby zapewnić skuteczne wsparcie i rozwój językowy. Efektywnie komunikuje się z rodzicami, informuje o</w:t>
            </w:r>
            <w:r w:rsidR="00E51980">
              <w:rPr>
                <w:rFonts w:cstheme="minorHAnsi"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sz w:val="18"/>
                <w:szCs w:val="18"/>
              </w:rPr>
              <w:t>postępach dzieci, ukierunkowuje ich działania.</w:t>
            </w:r>
          </w:p>
        </w:tc>
        <w:tc>
          <w:tcPr>
            <w:tcW w:w="1970" w:type="pct"/>
            <w:vAlign w:val="center"/>
          </w:tcPr>
          <w:p w14:paraId="74E23361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24DA1277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5D032D61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5DF0CD62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587487" w:rsidRPr="002D24F7" w14:paraId="6FF1CFC8" w14:textId="77777777" w:rsidTr="00062621">
        <w:trPr>
          <w:trHeight w:val="737"/>
        </w:trPr>
        <w:tc>
          <w:tcPr>
            <w:tcW w:w="172" w:type="pct"/>
            <w:vAlign w:val="center"/>
          </w:tcPr>
          <w:p w14:paraId="0B288953" w14:textId="77777777" w:rsidR="00587487" w:rsidRPr="002D24F7" w:rsidRDefault="0097663F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8</w:t>
            </w:r>
            <w:r w:rsidR="00587487" w:rsidRPr="002D24F7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858" w:type="pct"/>
            <w:vAlign w:val="center"/>
          </w:tcPr>
          <w:p w14:paraId="2D28E6D5" w14:textId="77777777" w:rsidR="00587487" w:rsidRPr="002D24F7" w:rsidRDefault="0097663F" w:rsidP="0097663F">
            <w:pPr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  <w:u w:val="single"/>
              </w:rPr>
              <w:t>Zestaw efektów uczenia się nr 1:</w:t>
            </w:r>
          </w:p>
          <w:p w14:paraId="152C3D44" w14:textId="777FDAEF" w:rsidR="0097663F" w:rsidRPr="002D24F7" w:rsidRDefault="0097663F" w:rsidP="0097663F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Poziom PRK zestawu:</w:t>
            </w:r>
            <w:r w:rsidR="00B65DF6"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E51980">
              <w:rPr>
                <w:rFonts w:cstheme="minorHAnsi"/>
                <w:sz w:val="18"/>
                <w:szCs w:val="18"/>
              </w:rPr>
              <w:t>5</w:t>
            </w:r>
          </w:p>
          <w:p w14:paraId="5D3722E8" w14:textId="77777777" w:rsidR="0097663F" w:rsidRPr="002D24F7" w:rsidRDefault="0097663F" w:rsidP="0097663F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Rodzaj:</w:t>
            </w:r>
            <w:r w:rsidRPr="002D24F7">
              <w:rPr>
                <w:rFonts w:cstheme="minorHAnsi"/>
                <w:sz w:val="18"/>
                <w:szCs w:val="18"/>
              </w:rPr>
              <w:t xml:space="preserve"> obowiązkowy  </w:t>
            </w:r>
          </w:p>
          <w:p w14:paraId="6EC83A27" w14:textId="77777777" w:rsidR="00E51980" w:rsidRDefault="0097663F" w:rsidP="0097663F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zestawu</w:t>
            </w:r>
            <w:r w:rsidR="000E3310" w:rsidRPr="002D24F7">
              <w:rPr>
                <w:rFonts w:cstheme="minorHAnsi"/>
                <w:sz w:val="18"/>
                <w:szCs w:val="18"/>
              </w:rPr>
              <w:t xml:space="preserve">: </w:t>
            </w:r>
            <w:r w:rsidR="00E51980" w:rsidRPr="00E51980">
              <w:rPr>
                <w:rFonts w:cstheme="minorHAnsi"/>
                <w:sz w:val="18"/>
                <w:szCs w:val="18"/>
              </w:rPr>
              <w:t>Przedstawia elementy teoretyczne wychowania w powszechnej dwujęzyczności z wykorzystaniem metodyki SLS</w:t>
            </w:r>
          </w:p>
          <w:p w14:paraId="51DED048" w14:textId="6C680D04" w:rsidR="0097663F" w:rsidRPr="002D24F7" w:rsidRDefault="0097663F" w:rsidP="0097663F">
            <w:pPr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  <w:u w:val="single"/>
              </w:rPr>
              <w:t>Efekty uczenia się</w:t>
            </w:r>
            <w:r w:rsidR="000E3310" w:rsidRPr="002D24F7">
              <w:rPr>
                <w:rFonts w:cstheme="minorHAnsi"/>
                <w:b/>
                <w:sz w:val="18"/>
                <w:szCs w:val="18"/>
                <w:u w:val="single"/>
              </w:rPr>
              <w:t>:</w:t>
            </w:r>
          </w:p>
          <w:p w14:paraId="6BE9484C" w14:textId="77777777" w:rsidR="0097663F" w:rsidRPr="002D24F7" w:rsidRDefault="000E3310" w:rsidP="0097663F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Numer efektu: </w:t>
            </w:r>
            <w:r w:rsidR="0097663F" w:rsidRPr="002D24F7">
              <w:rPr>
                <w:rFonts w:cstheme="minorHAnsi"/>
                <w:sz w:val="18"/>
                <w:szCs w:val="18"/>
              </w:rPr>
              <w:t xml:space="preserve">1  </w:t>
            </w:r>
          </w:p>
          <w:p w14:paraId="6F878C42" w14:textId="24C8DE89" w:rsidR="000E3310" w:rsidRPr="002D24F7" w:rsidRDefault="0097663F" w:rsidP="0017762E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</w:t>
            </w:r>
            <w:r w:rsidR="000E3310" w:rsidRPr="002D24F7">
              <w:rPr>
                <w:rFonts w:cstheme="minorHAnsi"/>
                <w:b/>
                <w:sz w:val="18"/>
                <w:szCs w:val="18"/>
              </w:rPr>
              <w:t xml:space="preserve"> efektu: </w:t>
            </w:r>
            <w:r w:rsidR="00E51980" w:rsidRPr="00E51980">
              <w:rPr>
                <w:rFonts w:cstheme="minorHAnsi"/>
                <w:sz w:val="18"/>
                <w:szCs w:val="18"/>
              </w:rPr>
              <w:t>omawia wychowanie w dwujęzyczności</w:t>
            </w:r>
          </w:p>
          <w:p w14:paraId="3E1CBB89" w14:textId="77777777" w:rsidR="000E3310" w:rsidRPr="002D24F7" w:rsidRDefault="000E3310" w:rsidP="000E3310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2C5A7FD3" w14:textId="33CCE26D" w:rsidR="00E51980" w:rsidRPr="00E51980" w:rsidRDefault="00E51980" w:rsidP="00E51980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51980">
              <w:rPr>
                <w:rFonts w:cstheme="minorHAnsi"/>
                <w:sz w:val="18"/>
                <w:szCs w:val="18"/>
              </w:rPr>
              <w:t>omawia genezę wychowanie w dwujęzyczności pod względem powstania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51980">
              <w:rPr>
                <w:rFonts w:cstheme="minorHAnsi"/>
                <w:sz w:val="18"/>
                <w:szCs w:val="18"/>
              </w:rPr>
              <w:t>ustrukturyzowanych metod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0357159A" w14:textId="5F9F5A42" w:rsidR="00E51980" w:rsidRPr="00E51980" w:rsidRDefault="00E51980" w:rsidP="00E51980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51980">
              <w:rPr>
                <w:rFonts w:cstheme="minorHAnsi"/>
                <w:sz w:val="18"/>
                <w:szCs w:val="18"/>
              </w:rPr>
              <w:lastRenderedPageBreak/>
              <w:t>omawia wnioski ze znaczących badań naukowych w dziedzinie językoznawstwa 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51980">
              <w:rPr>
                <w:rFonts w:cstheme="minorHAnsi"/>
                <w:sz w:val="18"/>
                <w:szCs w:val="18"/>
              </w:rPr>
              <w:t>logopedii dotyczące wychowania w dwujęzyczności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633ABE31" w14:textId="7F567B80" w:rsidR="00E51980" w:rsidRDefault="00E51980" w:rsidP="003B0533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51980">
              <w:rPr>
                <w:rFonts w:cstheme="minorHAnsi"/>
                <w:sz w:val="18"/>
                <w:szCs w:val="18"/>
              </w:rPr>
              <w:t>charakteryzuje rodzaje dwujęzyczności (natywna i nienatywna/zamierzona)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6CAE5159" w14:textId="45C77469" w:rsidR="0017762E" w:rsidRPr="00E51980" w:rsidRDefault="00E51980" w:rsidP="00E51980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51980">
              <w:rPr>
                <w:rFonts w:cstheme="minorHAnsi"/>
                <w:sz w:val="18"/>
                <w:szCs w:val="18"/>
              </w:rPr>
              <w:t>charakteryzuje zasadę OPOL (One Person/Place/Parent, One language )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120CE612" w14:textId="77777777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Numer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2  </w:t>
            </w:r>
          </w:p>
          <w:p w14:paraId="13E3021B" w14:textId="69B8F9F1" w:rsidR="000E3310" w:rsidRPr="002D24F7" w:rsidRDefault="000E3310" w:rsidP="003B053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sz w:val="18"/>
                <w:szCs w:val="18"/>
              </w:rPr>
              <w:t>omawia metodę Spiral Language System (spiralny system nauki języka)</w:t>
            </w:r>
          </w:p>
          <w:p w14:paraId="06D476D1" w14:textId="77777777" w:rsidR="000E3310" w:rsidRPr="002D24F7" w:rsidRDefault="000E3310" w:rsidP="000E3310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4A5E6174" w14:textId="7D78CBE4" w:rsidR="003B0533" w:rsidRDefault="00E51980" w:rsidP="00E51980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51980">
              <w:rPr>
                <w:rFonts w:cstheme="minorHAnsi"/>
                <w:sz w:val="18"/>
                <w:szCs w:val="18"/>
              </w:rPr>
              <w:t>wymienia i charakteryzuje elementy SLS (n.p pojęcie SLS, wykorzystanie dźwięków,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51980">
              <w:rPr>
                <w:rFonts w:cstheme="minorHAnsi"/>
                <w:sz w:val="18"/>
                <w:szCs w:val="18"/>
              </w:rPr>
              <w:t>obrazów, zainteresowania dziecka, czynności - indywidualne i grupowe, dedykowane</w:t>
            </w:r>
            <w:r w:rsidRPr="00E51980">
              <w:rPr>
                <w:rFonts w:cstheme="minorHAnsi"/>
                <w:sz w:val="18"/>
                <w:szCs w:val="18"/>
              </w:rPr>
              <w:t xml:space="preserve"> </w:t>
            </w:r>
            <w:r w:rsidRPr="00E51980">
              <w:rPr>
                <w:rFonts w:cstheme="minorHAnsi"/>
                <w:sz w:val="18"/>
                <w:szCs w:val="18"/>
              </w:rPr>
              <w:t>ścieżki pamięciowe, organizowanie powtórzeń)</w:t>
            </w:r>
            <w:r w:rsidRPr="00E51980">
              <w:rPr>
                <w:rFonts w:cstheme="minorHAnsi"/>
                <w:sz w:val="18"/>
                <w:szCs w:val="18"/>
              </w:rPr>
              <w:t>,</w:t>
            </w:r>
          </w:p>
          <w:p w14:paraId="22BC017B" w14:textId="0C431C69" w:rsidR="00E51980" w:rsidRDefault="00E51980" w:rsidP="00E51980">
            <w:pPr>
              <w:pStyle w:val="Akapitzlist"/>
              <w:numPr>
                <w:ilvl w:val="0"/>
                <w:numId w:val="18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51980">
              <w:rPr>
                <w:rFonts w:cstheme="minorHAnsi"/>
                <w:sz w:val="18"/>
                <w:szCs w:val="18"/>
              </w:rPr>
              <w:t>omawia zastosowanie i kolejność stosowania poszczególnych elementów SLS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7E0D85CB" w14:textId="337B52E7" w:rsidR="00B30582" w:rsidRPr="00E51980" w:rsidRDefault="00B30582" w:rsidP="00E519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0" w:type="pct"/>
            <w:vAlign w:val="center"/>
          </w:tcPr>
          <w:p w14:paraId="67D2CB42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1CCC8F66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6EA60F86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73AE6EDA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05DFA60C" w14:textId="77777777" w:rsidR="00587487" w:rsidRPr="002D24F7" w:rsidRDefault="00587487" w:rsidP="00587487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0E3310" w:rsidRPr="002D24F7" w14:paraId="07806265" w14:textId="77777777" w:rsidTr="00062621">
        <w:trPr>
          <w:trHeight w:val="737"/>
        </w:trPr>
        <w:tc>
          <w:tcPr>
            <w:tcW w:w="172" w:type="pct"/>
            <w:vAlign w:val="center"/>
          </w:tcPr>
          <w:p w14:paraId="2ABD190E" w14:textId="77777777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858" w:type="pct"/>
            <w:vAlign w:val="center"/>
          </w:tcPr>
          <w:p w14:paraId="3376E90E" w14:textId="77777777" w:rsidR="000E3310" w:rsidRPr="002D24F7" w:rsidRDefault="000E3310" w:rsidP="000E3310">
            <w:pPr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  <w:u w:val="single"/>
              </w:rPr>
              <w:t>Zestaw efektów uczenia się nr 2:</w:t>
            </w:r>
          </w:p>
          <w:p w14:paraId="73D7960D" w14:textId="66B4F370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Poziom PRK zestawu: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E51980">
              <w:rPr>
                <w:rFonts w:cstheme="minorHAnsi"/>
                <w:sz w:val="18"/>
                <w:szCs w:val="18"/>
              </w:rPr>
              <w:t>5</w:t>
            </w:r>
          </w:p>
          <w:p w14:paraId="30A45401" w14:textId="77777777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Rodzaj:</w:t>
            </w:r>
            <w:r w:rsidRPr="002D24F7">
              <w:rPr>
                <w:rFonts w:cstheme="minorHAnsi"/>
                <w:sz w:val="18"/>
                <w:szCs w:val="18"/>
              </w:rPr>
              <w:t xml:space="preserve"> obowiązkowy  </w:t>
            </w:r>
          </w:p>
          <w:p w14:paraId="2B3777C4" w14:textId="70077A3F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zestawu</w:t>
            </w:r>
            <w:r w:rsidRPr="002D24F7">
              <w:rPr>
                <w:rFonts w:cstheme="minorHAnsi"/>
                <w:sz w:val="18"/>
                <w:szCs w:val="18"/>
              </w:rPr>
              <w:t xml:space="preserve">: </w:t>
            </w:r>
            <w:r w:rsidR="00E51980" w:rsidRPr="00E51980">
              <w:rPr>
                <w:rFonts w:cstheme="minorHAnsi"/>
                <w:sz w:val="18"/>
                <w:szCs w:val="18"/>
              </w:rPr>
              <w:t>Prowadzenie zajęć z powszechnej dwujęzyczności polsko-angielskiej</w:t>
            </w:r>
          </w:p>
          <w:p w14:paraId="09FA6609" w14:textId="77777777" w:rsidR="000E3310" w:rsidRPr="002D24F7" w:rsidRDefault="000E3310" w:rsidP="000E3310">
            <w:pPr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  <w:u w:val="single"/>
              </w:rPr>
              <w:t>Efekty uczenia się:</w:t>
            </w:r>
          </w:p>
          <w:p w14:paraId="662913DA" w14:textId="77777777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Numer efektu: </w:t>
            </w:r>
            <w:r w:rsidRPr="002D24F7">
              <w:rPr>
                <w:rFonts w:cstheme="minorHAnsi"/>
                <w:sz w:val="18"/>
                <w:szCs w:val="18"/>
              </w:rPr>
              <w:t xml:space="preserve">1  </w:t>
            </w:r>
          </w:p>
          <w:p w14:paraId="50EB6EF5" w14:textId="458C59C3" w:rsidR="000E3310" w:rsidRPr="002D24F7" w:rsidRDefault="000E3310" w:rsidP="00E519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Nazwa efektu: </w:t>
            </w:r>
            <w:r w:rsidR="00E51980" w:rsidRPr="00E51980">
              <w:rPr>
                <w:rFonts w:cstheme="minorHAnsi"/>
                <w:sz w:val="18"/>
                <w:szCs w:val="18"/>
              </w:rPr>
              <w:t>planuje pracę związaną z wychowaniem dzieci w dwujęzyczności zgodnie z zasadami Spiral</w:t>
            </w:r>
            <w:r w:rsidR="00E51980">
              <w:rPr>
                <w:rFonts w:cstheme="minorHAnsi"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sz w:val="18"/>
                <w:szCs w:val="18"/>
              </w:rPr>
              <w:t>Language System (spiralny system nauki języka)</w:t>
            </w:r>
            <w:r w:rsidR="003B0533" w:rsidRPr="002D24F7">
              <w:rPr>
                <w:rFonts w:cstheme="minorHAnsi"/>
                <w:sz w:val="18"/>
                <w:szCs w:val="18"/>
              </w:rPr>
              <w:t>.</w:t>
            </w:r>
          </w:p>
          <w:p w14:paraId="730C81E5" w14:textId="77777777" w:rsidR="000E3310" w:rsidRPr="002D24F7" w:rsidRDefault="000E3310" w:rsidP="000E3310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04FF6C9E" w14:textId="55F6AD95" w:rsidR="00E51980" w:rsidRDefault="00E51980" w:rsidP="003B0533">
            <w:pPr>
              <w:pStyle w:val="Akapitzlist"/>
              <w:numPr>
                <w:ilvl w:val="0"/>
                <w:numId w:val="19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51980">
              <w:rPr>
                <w:rFonts w:cstheme="minorHAnsi"/>
                <w:sz w:val="18"/>
                <w:szCs w:val="18"/>
              </w:rPr>
              <w:t>tworzy miesięczne plany zajęć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60BD565D" w14:textId="79004CAC" w:rsidR="00E51980" w:rsidRDefault="00E51980" w:rsidP="003B0533">
            <w:pPr>
              <w:pStyle w:val="Akapitzlist"/>
              <w:numPr>
                <w:ilvl w:val="0"/>
                <w:numId w:val="19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51980">
              <w:rPr>
                <w:rFonts w:cstheme="minorHAnsi"/>
                <w:sz w:val="18"/>
                <w:szCs w:val="18"/>
              </w:rPr>
              <w:t>uwzględnia w planie zakres tematyczny, słownictwo, konstrukcje gramatyczne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2654F322" w14:textId="77E0139D" w:rsidR="00E51980" w:rsidRPr="00E51980" w:rsidRDefault="00E51980" w:rsidP="00E51980">
            <w:pPr>
              <w:pStyle w:val="Akapitzlist"/>
              <w:numPr>
                <w:ilvl w:val="0"/>
                <w:numId w:val="19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51980">
              <w:rPr>
                <w:rFonts w:cstheme="minorHAnsi"/>
                <w:sz w:val="18"/>
                <w:szCs w:val="18"/>
              </w:rPr>
              <w:t>uwzględnia w planie zajęć materiały takie jak: audio, wideo, kontekstowe karty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51980">
              <w:rPr>
                <w:rFonts w:cstheme="minorHAnsi"/>
                <w:sz w:val="18"/>
                <w:szCs w:val="18"/>
              </w:rPr>
              <w:t>edukacyjne, karty obrazkowe, materiały dydaktyczne (maskotki, maski, plakaty, naklejki</w:t>
            </w:r>
            <w:r w:rsidRPr="00E51980">
              <w:rPr>
                <w:rFonts w:cstheme="minorHAnsi"/>
                <w:sz w:val="18"/>
                <w:szCs w:val="18"/>
              </w:rPr>
              <w:t xml:space="preserve"> </w:t>
            </w:r>
            <w:r w:rsidRPr="00E51980">
              <w:rPr>
                <w:rFonts w:cstheme="minorHAnsi"/>
                <w:sz w:val="18"/>
                <w:szCs w:val="18"/>
              </w:rPr>
              <w:t>lub inne)</w:t>
            </w:r>
            <w:r w:rsidRPr="00E51980">
              <w:rPr>
                <w:rFonts w:cstheme="minorHAnsi"/>
                <w:sz w:val="18"/>
                <w:szCs w:val="18"/>
              </w:rPr>
              <w:t>,</w:t>
            </w:r>
          </w:p>
          <w:p w14:paraId="4DC8AF06" w14:textId="77777777" w:rsidR="000E3310" w:rsidRPr="00E51980" w:rsidRDefault="000E3310" w:rsidP="00E519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51980">
              <w:rPr>
                <w:rFonts w:cstheme="minorHAnsi"/>
                <w:b/>
                <w:sz w:val="18"/>
                <w:szCs w:val="18"/>
              </w:rPr>
              <w:t>Numer efektu:</w:t>
            </w:r>
            <w:r w:rsidRPr="00E51980">
              <w:rPr>
                <w:rFonts w:cstheme="minorHAnsi"/>
                <w:sz w:val="18"/>
                <w:szCs w:val="18"/>
              </w:rPr>
              <w:t xml:space="preserve"> 2  </w:t>
            </w:r>
          </w:p>
          <w:p w14:paraId="26EF61A2" w14:textId="43626F6F" w:rsidR="000E3310" w:rsidRPr="002D24F7" w:rsidRDefault="000E3310" w:rsidP="00E519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lastRenderedPageBreak/>
              <w:t>Nazwa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sz w:val="18"/>
                <w:szCs w:val="18"/>
              </w:rPr>
              <w:t>wykorzystuje poszczególne elementy Spiral Language System (spiralny system nauki języka</w:t>
            </w:r>
            <w:r w:rsidR="00E51980">
              <w:rPr>
                <w:rFonts w:cstheme="minorHAnsi"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sz w:val="18"/>
                <w:szCs w:val="18"/>
              </w:rPr>
              <w:t>na co dzień w swojej pracy (Sound, Pictures, Actions, Links - Dźwięki, Obrazy,</w:t>
            </w:r>
            <w:r w:rsidR="00E51980">
              <w:rPr>
                <w:rFonts w:cstheme="minorHAnsi"/>
                <w:sz w:val="18"/>
                <w:szCs w:val="18"/>
              </w:rPr>
              <w:t xml:space="preserve"> </w:t>
            </w:r>
            <w:r w:rsidR="00E51980" w:rsidRPr="00E51980">
              <w:rPr>
                <w:rFonts w:cstheme="minorHAnsi"/>
                <w:sz w:val="18"/>
                <w:szCs w:val="18"/>
              </w:rPr>
              <w:t>Zainteresowania, Działanie, Ścieżki pamięciowe)</w:t>
            </w:r>
          </w:p>
          <w:p w14:paraId="48813F45" w14:textId="77777777" w:rsidR="000E3310" w:rsidRPr="002D24F7" w:rsidRDefault="000E3310" w:rsidP="000E3310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57B5BD4C" w14:textId="0D94D05E" w:rsidR="00E51980" w:rsidRDefault="00E51980" w:rsidP="007122FA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51980">
              <w:rPr>
                <w:rFonts w:cstheme="minorHAnsi"/>
                <w:sz w:val="18"/>
                <w:szCs w:val="18"/>
              </w:rPr>
              <w:t>stosuje sekwencje dydaktyczne w kolejności odpowiedniej dla metody SLS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1D8189EB" w14:textId="56D58D69" w:rsidR="00E51980" w:rsidRDefault="00E51980" w:rsidP="007122FA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51980">
              <w:rPr>
                <w:rFonts w:cstheme="minorHAnsi"/>
                <w:sz w:val="18"/>
                <w:szCs w:val="18"/>
              </w:rPr>
              <w:t>charakteryzuje powtarzalność sekwencji dydaktycznych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3FB345F9" w14:textId="3C9BCC4C" w:rsidR="00E51980" w:rsidRPr="00702CC9" w:rsidRDefault="00702CC9" w:rsidP="00702CC9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podaje przykłady zastosowania materiałów dydaktycznych takich jak platforma online,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02CC9">
              <w:rPr>
                <w:rFonts w:cstheme="minorHAnsi"/>
                <w:sz w:val="18"/>
                <w:szCs w:val="18"/>
              </w:rPr>
              <w:t>materiały audio, wideo, maskotki lub inne</w:t>
            </w:r>
            <w:r w:rsidRPr="00702CC9">
              <w:rPr>
                <w:rFonts w:cstheme="minorHAnsi"/>
                <w:sz w:val="18"/>
                <w:szCs w:val="18"/>
              </w:rPr>
              <w:t>,</w:t>
            </w:r>
          </w:p>
          <w:p w14:paraId="177EC808" w14:textId="26AF1897" w:rsidR="00702CC9" w:rsidRPr="00702CC9" w:rsidRDefault="00702CC9" w:rsidP="00702CC9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wyszukuje/dobiera do scenariusza materiały dydaktyczne na platformie edukacyjnej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02CC9">
              <w:rPr>
                <w:rFonts w:cstheme="minorHAnsi"/>
                <w:sz w:val="18"/>
                <w:szCs w:val="18"/>
              </w:rPr>
              <w:t>online</w:t>
            </w:r>
            <w:r w:rsidRPr="00702CC9">
              <w:rPr>
                <w:rFonts w:cstheme="minorHAnsi"/>
                <w:sz w:val="18"/>
                <w:szCs w:val="18"/>
              </w:rPr>
              <w:t>.</w:t>
            </w:r>
          </w:p>
          <w:p w14:paraId="62A13FD2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Numer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3  </w:t>
            </w:r>
          </w:p>
          <w:p w14:paraId="5F1A5426" w14:textId="09377F4C" w:rsidR="00F57323" w:rsidRPr="002D24F7" w:rsidRDefault="00F57323" w:rsidP="00702C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702CC9" w:rsidRPr="00702CC9">
              <w:rPr>
                <w:rFonts w:cstheme="minorHAnsi"/>
                <w:sz w:val="18"/>
                <w:szCs w:val="18"/>
              </w:rPr>
              <w:t>animuje pracę własną dzieci w przygotowanym otoczeniu zgodnie z zasadami Spiral</w:t>
            </w:r>
            <w:r w:rsidR="00702CC9">
              <w:rPr>
                <w:rFonts w:cstheme="minorHAnsi"/>
                <w:sz w:val="18"/>
                <w:szCs w:val="18"/>
              </w:rPr>
              <w:t xml:space="preserve"> </w:t>
            </w:r>
            <w:r w:rsidR="00702CC9" w:rsidRPr="00702CC9">
              <w:rPr>
                <w:rFonts w:cstheme="minorHAnsi"/>
                <w:sz w:val="18"/>
                <w:szCs w:val="18"/>
              </w:rPr>
              <w:t>Language System (spiralny system nauki języka)</w:t>
            </w:r>
          </w:p>
          <w:p w14:paraId="101B0F1F" w14:textId="77777777" w:rsidR="00F57323" w:rsidRPr="002D24F7" w:rsidRDefault="00F57323" w:rsidP="00F5732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00EDFEB0" w14:textId="2C311FBA" w:rsidR="0085429A" w:rsidRDefault="00702CC9" w:rsidP="00702CC9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podaje przykłady dopasowania scenariusza do uczniów ze specjalnymi potrzebami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02CC9">
              <w:rPr>
                <w:rFonts w:cstheme="minorHAnsi"/>
                <w:sz w:val="18"/>
                <w:szCs w:val="18"/>
              </w:rPr>
              <w:t>edukacyjnymi, także dla specjalnie uzdolnionych)</w:t>
            </w:r>
            <w:r w:rsidR="007122FA" w:rsidRPr="00702CC9">
              <w:rPr>
                <w:rFonts w:cstheme="minorHAnsi"/>
                <w:sz w:val="18"/>
                <w:szCs w:val="18"/>
              </w:rPr>
              <w:t>,</w:t>
            </w:r>
          </w:p>
          <w:p w14:paraId="19C9D13A" w14:textId="47E182D5" w:rsidR="00702CC9" w:rsidRPr="00702CC9" w:rsidRDefault="00702CC9" w:rsidP="00702CC9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podaje przykłady sposobu radzenia sobie z trudnościami w dynamice grupy, 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02CC9">
              <w:rPr>
                <w:rFonts w:cstheme="minorHAnsi"/>
                <w:sz w:val="18"/>
                <w:szCs w:val="18"/>
              </w:rPr>
              <w:t>przypadku gdy grupa jest bierna, mało aktywna lub zbyt rozproszona</w:t>
            </w:r>
            <w:r w:rsidRPr="00702CC9">
              <w:rPr>
                <w:rFonts w:cstheme="minorHAnsi"/>
                <w:sz w:val="18"/>
                <w:szCs w:val="18"/>
              </w:rPr>
              <w:t>,</w:t>
            </w:r>
          </w:p>
          <w:p w14:paraId="7C0838D4" w14:textId="77777777" w:rsidR="00B30582" w:rsidRDefault="00702CC9" w:rsidP="00702CC9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udziela konstruktywnej informacji zwrotnej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6424068C" w14:textId="77777777" w:rsidR="00702CC9" w:rsidRDefault="00702CC9" w:rsidP="00702C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b/>
                <w:bCs/>
                <w:sz w:val="18"/>
                <w:szCs w:val="18"/>
              </w:rPr>
              <w:t>Numer efektu:</w:t>
            </w:r>
            <w:r w:rsidRPr="00702CC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14:paraId="3F5CD83F" w14:textId="77777777" w:rsidR="00702CC9" w:rsidRPr="00702CC9" w:rsidRDefault="00702CC9" w:rsidP="00702C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b/>
                <w:bCs/>
                <w:sz w:val="18"/>
                <w:szCs w:val="18"/>
              </w:rPr>
              <w:t>Nazwa efektu: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02CC9">
              <w:rPr>
                <w:rFonts w:cstheme="minorHAnsi"/>
                <w:sz w:val="18"/>
                <w:szCs w:val="18"/>
              </w:rPr>
              <w:t>współpracuje z rodzicami, udziela wskazówek, kieruje i motywuje do ciągłego stosowania</w:t>
            </w:r>
          </w:p>
          <w:p w14:paraId="257C629F" w14:textId="67E0C845" w:rsidR="00702CC9" w:rsidRPr="00702CC9" w:rsidRDefault="00702CC9" w:rsidP="00702C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dwujęzyczności w środowisku domowym</w:t>
            </w:r>
          </w:p>
          <w:p w14:paraId="3AC34F01" w14:textId="77777777" w:rsidR="00702CC9" w:rsidRPr="00702CC9" w:rsidRDefault="00702CC9" w:rsidP="00702CC9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702CC9">
              <w:rPr>
                <w:rFonts w:cstheme="minorHAnsi"/>
                <w:b/>
                <w:bCs/>
                <w:sz w:val="18"/>
                <w:szCs w:val="18"/>
              </w:rPr>
              <w:t>Kryteria weryfikacji:</w:t>
            </w:r>
          </w:p>
          <w:p w14:paraId="41B16EB4" w14:textId="4EF0C303" w:rsidR="00702CC9" w:rsidRPr="00702CC9" w:rsidRDefault="00702CC9" w:rsidP="00702CC9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prezentuje scenariusz zajęć i metodę SLS rodzinom na zebraniu/spotkaniu</w:t>
            </w:r>
            <w:r w:rsidRPr="00702CC9">
              <w:rPr>
                <w:rFonts w:cstheme="minorHAnsi"/>
                <w:sz w:val="18"/>
                <w:szCs w:val="18"/>
              </w:rPr>
              <w:t>,</w:t>
            </w:r>
          </w:p>
          <w:p w14:paraId="55004B80" w14:textId="77777777" w:rsidR="00702CC9" w:rsidRDefault="00702CC9" w:rsidP="00702CC9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wysyła powiadomienia dla rodziny z wykorzystaniem platformy edukacyjnej SLS online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35BFF861" w14:textId="77777777" w:rsidR="00702CC9" w:rsidRPr="00702CC9" w:rsidRDefault="00702CC9" w:rsidP="00702CC9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formułuje wskazówki dla rodziny dotyczące wychowania w dwujęzyczności w środowisku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02CC9">
              <w:rPr>
                <w:rFonts w:cstheme="minorHAnsi"/>
                <w:sz w:val="18"/>
                <w:szCs w:val="18"/>
              </w:rPr>
              <w:t>domowych</w:t>
            </w:r>
            <w:r w:rsidRPr="00702CC9">
              <w:rPr>
                <w:rFonts w:cstheme="minorHAnsi"/>
                <w:sz w:val="18"/>
                <w:szCs w:val="18"/>
              </w:rPr>
              <w:t>.</w:t>
            </w:r>
          </w:p>
          <w:p w14:paraId="6A1EA7C7" w14:textId="5FA7EF14" w:rsidR="00702CC9" w:rsidRPr="00702CC9" w:rsidRDefault="00702CC9" w:rsidP="00702C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b/>
                <w:bCs/>
                <w:sz w:val="18"/>
                <w:szCs w:val="18"/>
              </w:rPr>
              <w:t>Numer efektu:</w:t>
            </w:r>
            <w:r w:rsidRPr="00702CC9">
              <w:rPr>
                <w:rFonts w:cstheme="minorHAnsi"/>
                <w:sz w:val="18"/>
                <w:szCs w:val="18"/>
              </w:rPr>
              <w:t xml:space="preserve"> </w:t>
            </w:r>
            <w:r w:rsidRPr="00702CC9">
              <w:rPr>
                <w:rFonts w:cstheme="minorHAnsi"/>
                <w:sz w:val="18"/>
                <w:szCs w:val="18"/>
              </w:rPr>
              <w:t>5</w:t>
            </w:r>
          </w:p>
          <w:p w14:paraId="75470AD7" w14:textId="77777777" w:rsidR="00702CC9" w:rsidRDefault="00702CC9" w:rsidP="00702CC9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b/>
                <w:bCs/>
                <w:sz w:val="18"/>
                <w:szCs w:val="18"/>
              </w:rPr>
              <w:t>Nazwa efektu:</w:t>
            </w:r>
            <w:r w:rsidRPr="00702CC9">
              <w:rPr>
                <w:rFonts w:cstheme="minorHAnsi"/>
                <w:sz w:val="18"/>
                <w:szCs w:val="18"/>
              </w:rPr>
              <w:t xml:space="preserve"> wykorzystuje arkusze ewaluacji</w:t>
            </w:r>
            <w:r w:rsidRPr="00702CC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C4F6B4A" w14:textId="101E4B9A" w:rsidR="00702CC9" w:rsidRPr="00702CC9" w:rsidRDefault="00702CC9" w:rsidP="00702CC9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702CC9">
              <w:rPr>
                <w:rFonts w:cstheme="minorHAnsi"/>
                <w:b/>
                <w:bCs/>
                <w:sz w:val="18"/>
                <w:szCs w:val="18"/>
              </w:rPr>
              <w:t>Kryteria weryfikacji:</w:t>
            </w:r>
          </w:p>
          <w:p w14:paraId="6773F44A" w14:textId="666F994A" w:rsidR="00702CC9" w:rsidRPr="00702CC9" w:rsidRDefault="00702CC9" w:rsidP="00702CC9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lastRenderedPageBreak/>
              <w:t>dobiera odpowiedni arkusz ewaluacji spośród dostępnych szablonów dla metody SLS</w:t>
            </w:r>
            <w:r w:rsidRPr="00702CC9">
              <w:rPr>
                <w:rFonts w:cstheme="minorHAnsi"/>
                <w:sz w:val="18"/>
                <w:szCs w:val="18"/>
              </w:rPr>
              <w:t>,</w:t>
            </w:r>
          </w:p>
          <w:p w14:paraId="27FEBC51" w14:textId="77777777" w:rsidR="00702CC9" w:rsidRDefault="00702CC9" w:rsidP="00702CC9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łączy metody jakościowe - w tym obserwacje - z ilościowymi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0D8B2E47" w14:textId="77777777" w:rsidR="00702CC9" w:rsidRDefault="00702CC9" w:rsidP="00702CC9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dobiera skalę ewaluacji do dzieci ze specjalnymi potrzebami edukacyjnymi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4E66D5D5" w14:textId="029FCDDD" w:rsidR="00702CC9" w:rsidRPr="00702CC9" w:rsidRDefault="00702CC9" w:rsidP="00702CC9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omawia zestawienie zgromadzonych danych/informacji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970" w:type="pct"/>
            <w:vAlign w:val="center"/>
          </w:tcPr>
          <w:p w14:paraId="5A2639B3" w14:textId="77777777" w:rsidR="000E3310" w:rsidRPr="002D24F7" w:rsidRDefault="000E3310" w:rsidP="000E3310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F57323" w:rsidRPr="002D24F7" w14:paraId="6D3ED06B" w14:textId="77777777" w:rsidTr="00062621">
        <w:trPr>
          <w:trHeight w:val="737"/>
        </w:trPr>
        <w:tc>
          <w:tcPr>
            <w:tcW w:w="172" w:type="pct"/>
            <w:vAlign w:val="center"/>
          </w:tcPr>
          <w:p w14:paraId="634B726A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858" w:type="pct"/>
            <w:vAlign w:val="center"/>
          </w:tcPr>
          <w:p w14:paraId="60712F69" w14:textId="77777777" w:rsidR="00F57323" w:rsidRPr="002D24F7" w:rsidRDefault="00F57323" w:rsidP="00F57323">
            <w:pPr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  <w:u w:val="single"/>
              </w:rPr>
              <w:t>Zestaw efektów uczenia się nr 3:</w:t>
            </w:r>
          </w:p>
          <w:p w14:paraId="7134C65A" w14:textId="441632FB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Poziom PRK zestawu: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702CC9">
              <w:rPr>
                <w:rFonts w:cstheme="minorHAnsi"/>
                <w:sz w:val="18"/>
                <w:szCs w:val="18"/>
              </w:rPr>
              <w:t>5</w:t>
            </w:r>
          </w:p>
          <w:p w14:paraId="10AA6A87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Rodzaj:</w:t>
            </w:r>
            <w:r w:rsidRPr="002D24F7">
              <w:rPr>
                <w:rFonts w:cstheme="minorHAnsi"/>
                <w:sz w:val="18"/>
                <w:szCs w:val="18"/>
              </w:rPr>
              <w:t xml:space="preserve"> obowiązkowy  </w:t>
            </w:r>
          </w:p>
          <w:p w14:paraId="74C56C05" w14:textId="61B8BE9F" w:rsidR="00F57323" w:rsidRPr="002D24F7" w:rsidRDefault="00F57323" w:rsidP="0058384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zestawu</w:t>
            </w:r>
            <w:r w:rsidRPr="002D24F7">
              <w:rPr>
                <w:rFonts w:cstheme="minorHAnsi"/>
                <w:sz w:val="18"/>
                <w:szCs w:val="18"/>
              </w:rPr>
              <w:t xml:space="preserve">: </w:t>
            </w:r>
            <w:r w:rsidR="00702CC9" w:rsidRPr="00702CC9">
              <w:rPr>
                <w:rFonts w:cstheme="minorHAnsi"/>
                <w:sz w:val="18"/>
                <w:szCs w:val="18"/>
              </w:rPr>
              <w:t>Współpraca z rodziną dziecka/ucznia</w:t>
            </w:r>
          </w:p>
          <w:p w14:paraId="54CDF7BF" w14:textId="77777777" w:rsidR="00F57323" w:rsidRPr="002D24F7" w:rsidRDefault="00F57323" w:rsidP="00F57323">
            <w:pPr>
              <w:spacing w:before="120" w:after="12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  <w:u w:val="single"/>
              </w:rPr>
              <w:t>Efekty uczenia się:</w:t>
            </w:r>
          </w:p>
          <w:p w14:paraId="7CA64502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Numer efektu: </w:t>
            </w:r>
            <w:r w:rsidRPr="002D24F7">
              <w:rPr>
                <w:rFonts w:cstheme="minorHAnsi"/>
                <w:sz w:val="18"/>
                <w:szCs w:val="18"/>
              </w:rPr>
              <w:t xml:space="preserve">1  </w:t>
            </w:r>
          </w:p>
          <w:p w14:paraId="7C27C7CA" w14:textId="77777777" w:rsidR="00702CC9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Nazwa efektu: </w:t>
            </w:r>
            <w:r w:rsidR="00702CC9" w:rsidRPr="00702CC9">
              <w:rPr>
                <w:rFonts w:cstheme="minorHAnsi"/>
                <w:sz w:val="18"/>
                <w:szCs w:val="18"/>
              </w:rPr>
              <w:t>Komunikuje rodzicom plan zajęć do wykonania w środowisku rodzinnym</w:t>
            </w:r>
            <w:r w:rsidR="00702CC9" w:rsidRPr="00702CC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FC50811" w14:textId="62589A64" w:rsidR="00F57323" w:rsidRPr="002D24F7" w:rsidRDefault="00F57323" w:rsidP="00F5732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294AD16A" w14:textId="7D082011" w:rsidR="00702CC9" w:rsidRDefault="00702CC9" w:rsidP="00583843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wysyła wiadomość o aktualnym planie zajęć do rodziców/opiekunów dzieci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5895E707" w14:textId="3ACE4B4B" w:rsidR="00B30582" w:rsidRDefault="00702CC9" w:rsidP="00702CC9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śledzi postęp w realizacji zaplanowanych zadań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70F7A52D" w14:textId="49B2B4D4" w:rsidR="00702CC9" w:rsidRDefault="00702CC9" w:rsidP="00702CC9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podaje przykłady adekwatnych reakcji na brak aktywności rodziców/opiekunów 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02CC9">
              <w:rPr>
                <w:rFonts w:cstheme="minorHAnsi"/>
                <w:sz w:val="18"/>
                <w:szCs w:val="18"/>
              </w:rPr>
              <w:t>aplikacji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313E466A" w14:textId="77777777" w:rsidR="00702CC9" w:rsidRPr="00702CC9" w:rsidRDefault="00702CC9" w:rsidP="00702CC9">
            <w:pPr>
              <w:pStyle w:val="Akapitzlist"/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09CCDCC6" w14:textId="77777777" w:rsidR="00F57323" w:rsidRPr="002D24F7" w:rsidRDefault="00F57323" w:rsidP="00B30582">
            <w:pPr>
              <w:pStyle w:val="Akapitzlist"/>
              <w:spacing w:before="120" w:after="120"/>
              <w:ind w:left="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Numer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2  </w:t>
            </w:r>
          </w:p>
          <w:p w14:paraId="133E5A9E" w14:textId="6D69606C" w:rsidR="00F57323" w:rsidRPr="002D24F7" w:rsidRDefault="00F57323" w:rsidP="00583843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Nazwa efektu:</w:t>
            </w:r>
            <w:r w:rsidRPr="002D24F7">
              <w:rPr>
                <w:rFonts w:cstheme="minorHAnsi"/>
                <w:sz w:val="18"/>
                <w:szCs w:val="18"/>
              </w:rPr>
              <w:t xml:space="preserve"> </w:t>
            </w:r>
            <w:r w:rsidR="00702CC9" w:rsidRPr="00702CC9">
              <w:rPr>
                <w:rFonts w:cstheme="minorHAnsi"/>
                <w:sz w:val="18"/>
                <w:szCs w:val="18"/>
              </w:rPr>
              <w:t>Udziela porad metodycznych</w:t>
            </w:r>
          </w:p>
          <w:p w14:paraId="5A272C33" w14:textId="77777777" w:rsidR="00F57323" w:rsidRPr="002D24F7" w:rsidRDefault="00F57323" w:rsidP="00F57323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Kryteria weryfikacji:</w:t>
            </w:r>
          </w:p>
          <w:p w14:paraId="35243CB3" w14:textId="77777777" w:rsidR="00702CC9" w:rsidRDefault="00702CC9" w:rsidP="00583843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odpowiada na najczęściej zadawane pytania od rodziców/opiekunów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2110013E" w14:textId="1DC2CF10" w:rsidR="00062621" w:rsidRPr="002D24F7" w:rsidRDefault="00702CC9" w:rsidP="00583843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doradza pod względem wdrożenia metody SLS w środowisku rodzinnym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970" w:type="pct"/>
            <w:vAlign w:val="center"/>
          </w:tcPr>
          <w:p w14:paraId="7E0C7C6A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400DE6FE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70637B1B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  <w:p w14:paraId="3376BD09" w14:textId="77777777" w:rsidR="00F57323" w:rsidRPr="002D24F7" w:rsidRDefault="00F57323" w:rsidP="00F57323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785180" w:rsidRPr="002D24F7" w14:paraId="1F3EDBC7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1DCE8405" w14:textId="77777777" w:rsidR="00785180" w:rsidRPr="002D24F7" w:rsidRDefault="00062621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11</w:t>
            </w:r>
            <w:r w:rsidR="00160529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16AB8411" w14:textId="6F0AABAD" w:rsidR="00785180" w:rsidRPr="002D24F7" w:rsidRDefault="00160529" w:rsidP="00062621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Warunki, jakie musi spełniać osoba przystępująca do walidacji: </w:t>
            </w:r>
            <w:r w:rsidR="00702CC9">
              <w:rPr>
                <w:rFonts w:cstheme="minorHAnsi"/>
                <w:sz w:val="18"/>
                <w:szCs w:val="18"/>
              </w:rPr>
              <w:t>Brak warunków</w:t>
            </w:r>
          </w:p>
        </w:tc>
        <w:tc>
          <w:tcPr>
            <w:tcW w:w="1970" w:type="pct"/>
            <w:vAlign w:val="center"/>
          </w:tcPr>
          <w:p w14:paraId="4CF64842" w14:textId="77777777" w:rsidR="00785180" w:rsidRPr="002D24F7" w:rsidRDefault="00785180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785180" w:rsidRPr="002D24F7" w14:paraId="5096EDC3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498225ED" w14:textId="77777777" w:rsidR="00785180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12</w:t>
            </w:r>
            <w:r w:rsidR="00160529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20F5DDA0" w14:textId="77777777" w:rsidR="00785180" w:rsidRPr="00702CC9" w:rsidRDefault="00160529" w:rsidP="00785180">
            <w:pPr>
              <w:spacing w:before="120" w:after="120"/>
              <w:rPr>
                <w:rFonts w:cstheme="minorHAnsi"/>
                <w:b/>
                <w:sz w:val="18"/>
                <w:szCs w:val="18"/>
              </w:rPr>
            </w:pPr>
            <w:r w:rsidRPr="00702CC9">
              <w:rPr>
                <w:rFonts w:cstheme="minorHAnsi"/>
                <w:b/>
                <w:sz w:val="18"/>
                <w:szCs w:val="18"/>
              </w:rPr>
              <w:t>Ramowe wymagania dotyczące walidacji, w tym:</w:t>
            </w:r>
          </w:p>
          <w:p w14:paraId="13440584" w14:textId="77777777" w:rsidR="00062621" w:rsidRPr="00702CC9" w:rsidRDefault="00160529" w:rsidP="00160529">
            <w:pPr>
              <w:pStyle w:val="Akapitzlist"/>
              <w:numPr>
                <w:ilvl w:val="0"/>
                <w:numId w:val="32"/>
              </w:num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b/>
                <w:sz w:val="18"/>
                <w:szCs w:val="18"/>
              </w:rPr>
              <w:t>wymagania dotyczące metod przeprowadzania walidacji:</w:t>
            </w:r>
            <w:r w:rsidRPr="00702CC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F1FCC65" w14:textId="77777777" w:rsidR="00702CC9" w:rsidRPr="00702CC9" w:rsidRDefault="00702CC9" w:rsidP="00702CC9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Weryfikacja efektów uczenia się składa się z następujących metod:</w:t>
            </w:r>
          </w:p>
          <w:p w14:paraId="01F12EB7" w14:textId="77777777" w:rsidR="00702CC9" w:rsidRPr="00702CC9" w:rsidRDefault="00702CC9" w:rsidP="00702CC9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1) analiza dowodów i deklaracji</w:t>
            </w:r>
          </w:p>
          <w:p w14:paraId="1C99C4E0" w14:textId="77777777" w:rsidR="00702CC9" w:rsidRPr="00702CC9" w:rsidRDefault="00702CC9" w:rsidP="00702CC9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2) test teoretyczny pisemny - wiedzowy, dotyczący szczegółowego omówienia metodyki SLS</w:t>
            </w:r>
          </w:p>
          <w:p w14:paraId="11A8332C" w14:textId="034FF7C6" w:rsidR="00702CC9" w:rsidRPr="00702CC9" w:rsidRDefault="00702CC9" w:rsidP="00702CC9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lastRenderedPageBreak/>
              <w:t>3) wywiad swobodny - z wykorzystaniem metody analizy przypadków, łącznie z krytyczną oceną przeprowadzonych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02CC9">
              <w:rPr>
                <w:rFonts w:cstheme="minorHAnsi"/>
                <w:sz w:val="18"/>
                <w:szCs w:val="18"/>
              </w:rPr>
              <w:t>obserwacji,</w:t>
            </w:r>
          </w:p>
          <w:p w14:paraId="7CBFDB73" w14:textId="77777777" w:rsidR="00702CC9" w:rsidRPr="00702CC9" w:rsidRDefault="00702CC9" w:rsidP="00702CC9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Weryfikacja za pomocą wyżej wymienionych metod może być uzupełniona innymi metodami walidacji.</w:t>
            </w:r>
          </w:p>
          <w:p w14:paraId="616FDCD3" w14:textId="1563915D" w:rsidR="00583843" w:rsidRPr="00702CC9" w:rsidRDefault="00702CC9" w:rsidP="00702CC9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W szczególnych sytuacjach (np. sytuacja epidemiczna ograniczająca możliwość kontaktów bezpośrednich kandydata 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02CC9">
              <w:rPr>
                <w:rFonts w:cstheme="minorHAnsi"/>
                <w:sz w:val="18"/>
                <w:szCs w:val="18"/>
              </w:rPr>
              <w:t>komisją) możliwe jest zastosowanie innych metod walidacji lub jej form (np.: zdalna) przy zachowaniu wszelkich zasad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02CC9">
              <w:rPr>
                <w:rFonts w:cstheme="minorHAnsi"/>
                <w:sz w:val="18"/>
                <w:szCs w:val="18"/>
              </w:rPr>
              <w:t>zapewniania jakości oraz obowiązku sprawdzenia wszystkich efektów uczenia się wraz z kryteriami weryfikacji.</w:t>
            </w:r>
            <w:r w:rsidRPr="00702CC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1DABEF7" w14:textId="77777777" w:rsidR="00583843" w:rsidRPr="00702CC9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</w:p>
          <w:p w14:paraId="1A8A5BF6" w14:textId="77777777" w:rsidR="00062621" w:rsidRPr="00702CC9" w:rsidRDefault="00160529" w:rsidP="00062621">
            <w:pPr>
              <w:pStyle w:val="Akapitzlist"/>
              <w:numPr>
                <w:ilvl w:val="0"/>
                <w:numId w:val="32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b/>
                <w:sz w:val="18"/>
                <w:szCs w:val="18"/>
              </w:rPr>
              <w:t>wymagania dotyczące osób przeprowadzających walidację:</w:t>
            </w:r>
            <w:r w:rsidRPr="00702CC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9ED4F6B" w14:textId="0E2A1024" w:rsidR="00702CC9" w:rsidRPr="00702CC9" w:rsidRDefault="00702CC9" w:rsidP="00702CC9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Weryfikację efektów uczenia się przeprowadza komisja składająca się co najmniej z 3 osób - z przewodniczącego oraz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02CC9">
              <w:rPr>
                <w:rFonts w:cstheme="minorHAnsi"/>
                <w:sz w:val="18"/>
                <w:szCs w:val="18"/>
              </w:rPr>
              <w:t>członków komisji - które:</w:t>
            </w:r>
          </w:p>
          <w:p w14:paraId="200CC55E" w14:textId="77777777" w:rsidR="00702CC9" w:rsidRPr="00702CC9" w:rsidRDefault="00702CC9" w:rsidP="00702CC9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1) posiadają dyplom ukończenia studiów pedagogicznych,</w:t>
            </w:r>
          </w:p>
          <w:p w14:paraId="24FC669D" w14:textId="77777777" w:rsidR="00702CC9" w:rsidRPr="00702CC9" w:rsidRDefault="00702CC9" w:rsidP="00702CC9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2) w ciągu ostatnich 5 lat przez co najmniej 2 lata prowadziły zajęcia zgodnie z zasadami metodyki SLS,</w:t>
            </w:r>
          </w:p>
          <w:p w14:paraId="01F9691C" w14:textId="77777777" w:rsidR="00702CC9" w:rsidRPr="00702CC9" w:rsidRDefault="00702CC9" w:rsidP="00702CC9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3) w ciągu ostatnich 5 lat przeprowadziły co najmniej 100 godzin zajęć na kursach, warsztatach z zakresu metodyki SLS.</w:t>
            </w:r>
          </w:p>
          <w:p w14:paraId="26B3207B" w14:textId="69A5A49B" w:rsidR="009378D0" w:rsidRPr="00702CC9" w:rsidRDefault="00702CC9" w:rsidP="00702CC9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702CC9">
              <w:rPr>
                <w:rFonts w:cstheme="minorHAnsi"/>
                <w:sz w:val="18"/>
                <w:szCs w:val="18"/>
              </w:rPr>
              <w:t>Przewodniczący komisji, w razie braku większości głosów podczas weryfikacji, posiada głos rozstrzygający.</w:t>
            </w:r>
          </w:p>
          <w:p w14:paraId="1E328C53" w14:textId="77777777" w:rsidR="00583843" w:rsidRPr="00702CC9" w:rsidRDefault="00583843" w:rsidP="00583843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</w:p>
          <w:p w14:paraId="24C34EAE" w14:textId="77777777" w:rsidR="009378D0" w:rsidRPr="00702CC9" w:rsidRDefault="00160529" w:rsidP="009378D0">
            <w:pPr>
              <w:pStyle w:val="Akapitzlist"/>
              <w:numPr>
                <w:ilvl w:val="0"/>
                <w:numId w:val="32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2CC9">
              <w:rPr>
                <w:rFonts w:cstheme="minorHAnsi"/>
                <w:b/>
                <w:sz w:val="18"/>
                <w:szCs w:val="18"/>
              </w:rPr>
              <w:t xml:space="preserve">wymagania dotyczące warunków organizacyjnych i materialnych niezbędnych do prawidłowego i bezpiecznego przeprowadzania walidacji: </w:t>
            </w:r>
          </w:p>
          <w:p w14:paraId="193F68C2" w14:textId="77777777" w:rsidR="00A84015" w:rsidRPr="00A84015" w:rsidRDefault="00A84015" w:rsidP="00A84015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Walidacja może być przeprowadzona wyłącznie w miejscu, w którym:</w:t>
            </w:r>
          </w:p>
          <w:p w14:paraId="30A2AC13" w14:textId="77777777" w:rsidR="00A84015" w:rsidRPr="00A84015" w:rsidRDefault="00A84015" w:rsidP="00A84015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- praca prowadzona jest zgodnie z metodyką SLS</w:t>
            </w:r>
          </w:p>
          <w:p w14:paraId="6BB02752" w14:textId="77777777" w:rsidR="00A84015" w:rsidRPr="00A84015" w:rsidRDefault="00A84015" w:rsidP="00A84015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- dostępny jest Internet oraz podstawowe wyposażenie i pomoce konieczne do prowadzenia zajęć metodyką SLS</w:t>
            </w:r>
          </w:p>
          <w:p w14:paraId="663292F3" w14:textId="151728D0" w:rsidR="00A84015" w:rsidRPr="00A84015" w:rsidRDefault="00A84015" w:rsidP="00A84015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Odnośnie metody analizy dowodów i deklaracji, wymagane jest przygotowanie kandydata przed weryfikacją. Przygotowanie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dotyczy w szczególności:</w:t>
            </w:r>
          </w:p>
          <w:p w14:paraId="745280E0" w14:textId="5440D303" w:rsidR="00A84015" w:rsidRPr="00A84015" w:rsidRDefault="00A84015" w:rsidP="00A84015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- dokonanie przez kandydata obserwacji zajęć w warunkach rzeczywistych: kandydat powinien przeprowadzić/odbyć co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 xml:space="preserve">najmniej 10 godzin obserwacji nauczyciela/animatora przy pracy, - łącznie z konsultacjami po-obserwacyjnymi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A84015">
              <w:rPr>
                <w:rFonts w:cstheme="minorHAnsi"/>
                <w:sz w:val="18"/>
                <w:szCs w:val="18"/>
              </w:rPr>
              <w:t xml:space="preserve"> dotyczących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zajęć prowadzonych zgodnie z metodyką SLS. Obserwacja powinna zostać udokumentowana w arkuszu obserwacji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przygotowanym przez instytucję certyfikującą.</w:t>
            </w:r>
          </w:p>
          <w:p w14:paraId="20813C09" w14:textId="451F3466" w:rsidR="00A84015" w:rsidRPr="00A84015" w:rsidRDefault="00A84015" w:rsidP="00A84015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- przygotowanie scenariusza sytuacji edukacyjnej z zastosowaniem etapów metodyki SLS, uwzględniającej zasoby platformy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oraz pomoce dydaktyczne. Szablon dla scenariusza powinien zostać przygotowany i udostępniony przez IC.</w:t>
            </w:r>
          </w:p>
          <w:p w14:paraId="3829050D" w14:textId="20F85EB7" w:rsidR="00A84015" w:rsidRPr="00A84015" w:rsidRDefault="00A84015" w:rsidP="00A84015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lastRenderedPageBreak/>
              <w:t>Na potrzeby ww. przygotowania i odbycia obserwacji, IC powinna posiadać listę placówek, do których kandydat może się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zwrócić z prośbą o odbycie obserwacji.</w:t>
            </w:r>
          </w:p>
          <w:p w14:paraId="3BB9659E" w14:textId="226471B2" w:rsidR="00A84015" w:rsidRPr="00A84015" w:rsidRDefault="00A84015" w:rsidP="00A84015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Po odbyciu obserwacji, niemniej przed wyznaczonym terminem weryfikacji, kandydat powinien przesłać dokumenty do analizy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dowodów i deklaracji do komisji asesorów. W skład przesyłanych dokumentów wchodzą co najmniej:</w:t>
            </w:r>
          </w:p>
          <w:p w14:paraId="527C3012" w14:textId="77777777" w:rsidR="00A84015" w:rsidRPr="00A84015" w:rsidRDefault="00A84015" w:rsidP="00A84015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- arkusz z obserwacji,</w:t>
            </w:r>
          </w:p>
          <w:p w14:paraId="014CFBEF" w14:textId="77777777" w:rsidR="00A84015" w:rsidRPr="00A84015" w:rsidRDefault="00A84015" w:rsidP="00A84015">
            <w:pPr>
              <w:pStyle w:val="Akapitzlist"/>
              <w:spacing w:before="120" w:after="120"/>
              <w:ind w:left="714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- zaświadczenie o odbyciu obserwacji podpisane przez przedstawiciela instytucji, w której ta się odbyła</w:t>
            </w:r>
          </w:p>
          <w:p w14:paraId="20B995BD" w14:textId="0169A7B1" w:rsidR="00160529" w:rsidRPr="00702CC9" w:rsidRDefault="00A84015" w:rsidP="00A84015">
            <w:pPr>
              <w:pStyle w:val="Akapitzlist"/>
              <w:spacing w:before="120" w:after="120"/>
              <w:ind w:left="714"/>
              <w:contextualSpacing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- scenariusz sytuacji edukacyjnej</w:t>
            </w:r>
            <w:r w:rsidR="00160529" w:rsidRPr="00702CC9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AB23C45" w14:textId="77777777" w:rsidR="00160529" w:rsidRPr="00702CC9" w:rsidRDefault="00160529" w:rsidP="009378D0">
            <w:pPr>
              <w:pStyle w:val="Akapitzlist"/>
              <w:numPr>
                <w:ilvl w:val="0"/>
                <w:numId w:val="32"/>
              </w:num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2CC9">
              <w:rPr>
                <w:rFonts w:cstheme="minorHAnsi"/>
                <w:b/>
                <w:sz w:val="18"/>
                <w:szCs w:val="18"/>
              </w:rPr>
              <w:t xml:space="preserve">ewentualnie dodatkowe informacje na temat ramowych wymagań dotyczących walidacji: </w:t>
            </w:r>
          </w:p>
          <w:p w14:paraId="57EE78CA" w14:textId="77777777" w:rsidR="00A84015" w:rsidRPr="00A84015" w:rsidRDefault="00A84015" w:rsidP="00A84015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Instytucja walidująca:</w:t>
            </w:r>
          </w:p>
          <w:p w14:paraId="729CC9F3" w14:textId="77777777" w:rsidR="00A84015" w:rsidRPr="00A84015" w:rsidRDefault="00A84015" w:rsidP="00A84015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- stosuje rozwiązania zapewniające rozdzielenie procesów kształcenia i szkolenia od walidacji,</w:t>
            </w:r>
          </w:p>
          <w:p w14:paraId="03FC770D" w14:textId="77777777" w:rsidR="00A84015" w:rsidRPr="00A84015" w:rsidRDefault="00A84015" w:rsidP="00A84015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- zapewnia bezstronność osób przeprowadzających walidację,</w:t>
            </w:r>
          </w:p>
          <w:p w14:paraId="076FE64C" w14:textId="77777777" w:rsidR="00A84015" w:rsidRPr="00A84015" w:rsidRDefault="00A84015" w:rsidP="00A84015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- zapewnia warunki do przeprowadzenia części praktycznej walidacji,</w:t>
            </w:r>
          </w:p>
          <w:p w14:paraId="449AC776" w14:textId="62798140" w:rsidR="00A84015" w:rsidRPr="00A84015" w:rsidRDefault="00A84015" w:rsidP="00A84015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- opracowuje i zapewnia bezstronną i niezależną procedurę odwoławczą, w ramach której osoby uczestniczące w procesie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walidacji i certyfikacji mają możliwość odwołania się od decyzji dotyczących spełnienia wymogów formalnych, walidacji, a także</w:t>
            </w:r>
            <w:r w:rsidRPr="00A84015"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decyzji kończącej walidację,</w:t>
            </w:r>
          </w:p>
          <w:p w14:paraId="2E77BDA0" w14:textId="543B2FE9" w:rsidR="009378D0" w:rsidRPr="00A84015" w:rsidRDefault="00A84015" w:rsidP="00A84015">
            <w:pPr>
              <w:pStyle w:val="Akapitzlist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- w przypadku negatywnego wyniku walidacji instytucja prowadząca walidację jest zobowiązana do przedstawienia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uzasadnienia decyzji.</w:t>
            </w:r>
          </w:p>
        </w:tc>
        <w:tc>
          <w:tcPr>
            <w:tcW w:w="1970" w:type="pct"/>
            <w:vAlign w:val="center"/>
          </w:tcPr>
          <w:p w14:paraId="42B26344" w14:textId="77777777" w:rsidR="00785180" w:rsidRPr="002D24F7" w:rsidRDefault="00785180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160529" w:rsidRPr="002D24F7" w14:paraId="42925787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492C254F" w14:textId="77777777" w:rsidR="00160529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lastRenderedPageBreak/>
              <w:t>13</w:t>
            </w:r>
            <w:r w:rsidR="00160529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3DA02EE0" w14:textId="77777777" w:rsidR="009378D0" w:rsidRPr="002D24F7" w:rsidRDefault="00160529" w:rsidP="00784ED6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>Zgodność kwalifikacji wolnorynkowej z potrzebami społecznymi lub rynku pracy, poparta danymi wynikającymi z analizy potrzeb rynku pracy i grup osób, do których dana kwalifikacja w szczególności jest kierowana:</w:t>
            </w:r>
          </w:p>
          <w:p w14:paraId="39754E1D" w14:textId="40AB8369" w:rsidR="00A84015" w:rsidRPr="00A84015" w:rsidRDefault="00A84015" w:rsidP="00A84015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84015">
              <w:rPr>
                <w:rFonts w:cstheme="minorHAnsi"/>
                <w:bCs/>
                <w:sz w:val="18"/>
                <w:szCs w:val="18"/>
              </w:rPr>
              <w:t>Dwujęzyczność z językiem angielskim, czyli językiem globalnej komunikacji, jest trendem zapoczątkowanym na rynku pracy.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Dzisiaj znajomość języka angielskiego jest wymogiem firm działających na skalę całego świata gdyż najczęściej jest to język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podstawowej wewnętrznej komunikacji między pracownikami w obrębie jednej firmy. Według raportów, ok 60% firm korzysta z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języka angielskiego (1).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Niniejsza kwalifikacja jest zgodna z Zintegrowaną Strategią Umiejętności 2030 (2), będącą dokumentem wyznaczającym kierunki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polityki Państwa w dziedzinie rozwijania umiejętności zgodnych z ideą uczenia się przez całe życie. Zagadnienie powszechnej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dwujęzyczności szczególnie wpisuje się w kierunek działania 6. “Wspieranie rozwoju umiejętności zawodowych kadr uczących w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edukacji formalnej” w ramach tematu działania 6.18. dotyczącego wzmocnienia oferty doskonalenia w zakresie rozwijania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umiejętności posługiwania się językiem obcym przez kadrę uczącą. Dodatkowo należy zauważyć, że w ramach umiejętności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podstawowych wymienią się wielojęzyczność, czyli zdolność do prawidłowego i skutecznego korzystania z różnych języków w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celu porozumiewania się; zdolność rozumienia, wyrażania i interpretowania pojęć, myśli, uczuć, faktów i opinii w mowie i piśmie w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 xml:space="preserve">odpowiednim zakresie kontekstów </w:t>
            </w:r>
            <w:r w:rsidRPr="00A84015">
              <w:rPr>
                <w:rFonts w:cstheme="minorHAnsi"/>
                <w:bCs/>
                <w:sz w:val="18"/>
                <w:szCs w:val="18"/>
              </w:rPr>
              <w:lastRenderedPageBreak/>
              <w:t>społecznych i kulturowych, w zależności od potrzeb lub pragnień danej osoby</w:t>
            </w:r>
            <w:r>
              <w:rPr>
                <w:rFonts w:cstheme="minorHAnsi"/>
                <w:bCs/>
                <w:sz w:val="18"/>
                <w:szCs w:val="18"/>
              </w:rPr>
              <w:t xml:space="preserve">. </w:t>
            </w:r>
            <w:r w:rsidRPr="00A84015">
              <w:rPr>
                <w:rFonts w:cstheme="minorHAnsi"/>
                <w:bCs/>
                <w:sz w:val="18"/>
                <w:szCs w:val="18"/>
              </w:rPr>
              <w:t>Dodatkowo, wielu włodarzy widzi potrzebę wychowywania dzieci w dwujęzyczności, m.in. zostało to wpisane w strategię rozwoju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miasta Wodzisław Śląski w formie uchwały (3).</w:t>
            </w:r>
          </w:p>
          <w:p w14:paraId="1762B4E1" w14:textId="7AAFCE9F" w:rsidR="00A84015" w:rsidRPr="00A84015" w:rsidRDefault="00A84015" w:rsidP="00A84015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84015">
              <w:rPr>
                <w:rFonts w:cstheme="minorHAnsi"/>
                <w:bCs/>
                <w:sz w:val="18"/>
                <w:szCs w:val="18"/>
              </w:rPr>
              <w:t>Gwałtowne zmiany zachodzące w polityce, społeczeństwie, gospodarce, kulturze i środowisku skutkują rosnącym znaczeniem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uczenia się różnych języków. Nabycie kompetencji językowych zapewnia integrację społeczną oraz rozszerza możliwości na rynku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pracy. Poza rozwijaniem kompetencji językowych, zgłębianie wiedzy o literaturze, sztuce, kulturze innych krajów pomaga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zrozumieć styl życia, tradycje, zachowanie, wartości i przekonania innych ludzi.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Dzieci przedszkolne i szkolne mają możliwość poznawania języka drugiego w placówkach, jednakże da się zauważyć pewien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rodzaj wykluczenia, przejawiający się w ograniczeniu możliwości korzystania przez nie z usług szkół języków obcych czy innych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miejsc poza formalnej edukacji, w których mogłyby rozwijać swoje kompetencje językowe. W tym obszarze rysuje się wyraźnie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dysproporcja między możliwościami dzieci mieszkających na wsi, a dzieci z aglomeracji miejskich. Nie bez znaczenia pozostaje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fakt ubóstwa, który znacząco ogranicza korzystanie z takich możliwości. W Strategii Rozwoju Powiatu Opolskiego na lata 2020-2025 jeden ze wskazanych celów strategicznych to: II. Aktywne i bezpieczne społeczeństwo, a podporządkowany jemu cel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operacyjny to: 1.Przeciwdziałanie wykluczeniu społecznemu i ubóstwu. Osiągnięciu celu ma służyć realizacja planowanych działań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i priorytetów inwestycyjnych, czyli: 1.2. Wyrównywanie szans edukacyjnych dzieci i młodzieży ze środowisk zagrożonych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wykluczeniem społecznym i dotkniętych ubóstwem, poprzez programy stypendialne i projekty rozwojowe. Kolejny wskazany cel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operacyjny to: 3. Podnoszenie jakości edukacji, w tym kształcenia zawodowego poprzez: 3.1 Rozwój kompetencji kluczowych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dzieci i młodzieży oraz postaw niezbędnych do funkcjonowania na rynku pracy 3.3 Rozwój kwalifikacji i umiejętności kadry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pedagogicznej.</w:t>
            </w:r>
          </w:p>
          <w:p w14:paraId="2B3891B4" w14:textId="731C2606" w:rsidR="00A84015" w:rsidRPr="00A84015" w:rsidRDefault="00A84015" w:rsidP="00A84015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84015">
              <w:rPr>
                <w:rFonts w:cstheme="minorHAnsi"/>
                <w:bCs/>
                <w:sz w:val="18"/>
                <w:szCs w:val="18"/>
              </w:rPr>
              <w:t>Mając na celu ukształtowanie Europy jako globalnie konkurencyjnego, jednolitego regionu, poparte przekonaniem, że Europejczycy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powinni być wyposażeni w kapitał językowy niezbędny do komunikacji w Europie i poza nią należałoby się skupić na tworzeniu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wszystkim jednakowych warunków do dwu – lub nawet wielojęzyczności. W takim klimacie poznanie języka drugiego staje się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zasadniczym priorytetem, zaś raporty i rekomendacje pochodzące z pierwszego dziesięciolecia XXI wieku silnie wspierają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wprowadzanie języków już w najwcześniejszej fazie dzieciństwa (4).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Mając na uwadze prawidłowości rozwojowe młodszych dzieci, należałoby szczególnie pochylić się nad stworzeniem im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naturalnych warunków do wrastania w drugi język już w przedszkolu, a potem kontynuowaniu oddziaływań w szkole. W zakresie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tworzenia warunków wychowania do dwujęzyczności dużego znaczenia nabierają kompetencje nauczycieli, które nie koncentrują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się wyłącznie na czynnościach dydaktycznych, lecz również na dbałości o to, aby procesy oddziaływania na dyspozycje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instrumentalne i kierunkowe nawzajem się przenikały i uzupełniały. Realizacja założeń powszechnej dwujęzyczności wymaga od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nauczyciela otwarcia się na dziecko i jego potrzeby przy jednoczesnym oddaniu dziecku autonomii w takim zakresie w jakim jest to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 xml:space="preserve">możliwe. Wskazane byłoby, aby nauczyciel był otwarty na przełamywanie schematów i </w:t>
            </w:r>
            <w:r w:rsidRPr="00A84015">
              <w:rPr>
                <w:rFonts w:cstheme="minorHAnsi"/>
                <w:bCs/>
                <w:sz w:val="18"/>
                <w:szCs w:val="18"/>
              </w:rPr>
              <w:lastRenderedPageBreak/>
              <w:t>sztywności w zakresie realizacji procesu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dydaktyczno-wychowawczego.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Przygotowanie nauczycieli do realizacji powszechnej dwujęzyczności pozwoli na osiągnięcie długofalowych społecznych korzyści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widocznych w momencie dojścia dzieci do dorosłości.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Wraz z rosnącym znaczeniem uczenia się języków pojawia się potrzeba zmiany w przygotowaniu metodycznym i merytorycznym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nauczycieli klas I-III, nauczycieli wychowania przedszkolnego, którzy mogliby już od pierwszego kontaktu dziecka przedszkolem a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potem szkołą zapewnić mu optymalne warunki do tworzenia przyjaznego środowiska dla uczenia się języka drugiego.</w:t>
            </w:r>
          </w:p>
          <w:p w14:paraId="343A743E" w14:textId="77777777" w:rsidR="00A84015" w:rsidRPr="00A84015" w:rsidRDefault="00A84015" w:rsidP="00A84015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84015">
              <w:rPr>
                <w:rFonts w:cstheme="minorHAnsi"/>
                <w:bCs/>
                <w:sz w:val="18"/>
                <w:szCs w:val="18"/>
              </w:rPr>
              <w:t>Źródła:</w:t>
            </w:r>
          </w:p>
          <w:p w14:paraId="1B1059D3" w14:textId="01EE242C" w:rsidR="00A84015" w:rsidRPr="00A84015" w:rsidRDefault="00A84015" w:rsidP="00A84015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84015">
              <w:rPr>
                <w:rFonts w:cstheme="minorHAnsi"/>
                <w:bCs/>
                <w:sz w:val="18"/>
                <w:szCs w:val="18"/>
              </w:rPr>
              <w:t>(1) Pobrane</w:t>
            </w:r>
            <w: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z: https://globalvolunteers.org/the-importance-of-english-for-global-business/ , data dostępu (01.09.2023)</w:t>
            </w:r>
          </w:p>
          <w:p w14:paraId="6D5FE2B7" w14:textId="712F725C" w:rsidR="00A84015" w:rsidRPr="00A84015" w:rsidRDefault="00A84015" w:rsidP="00A84015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84015">
              <w:rPr>
                <w:rFonts w:cstheme="minorHAnsi"/>
                <w:bCs/>
                <w:sz w:val="18"/>
                <w:szCs w:val="18"/>
              </w:rPr>
              <w:t>(2) Zintegrowana Strategia Umiejętności 2030. Polityka na rzecz rozwijania umiejętności zgodnie z ideą uczenia się przez całe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życie. Ministerstwo Edukacji Narodowej, Warszawa 2020 https://www.gov.pl/web/edukacja-i-nauka/zintegrowana-strategiaumiejetnosci-2030-czesc-szczegolowa--dokument-przyjety-przez-rade-ministrow</w:t>
            </w:r>
          </w:p>
          <w:p w14:paraId="34E7A9B3" w14:textId="5D0A01F2" w:rsidR="00A84015" w:rsidRPr="00A84015" w:rsidRDefault="00A84015" w:rsidP="00A84015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84015">
              <w:rPr>
                <w:rFonts w:cstheme="minorHAnsi"/>
                <w:bCs/>
                <w:sz w:val="18"/>
                <w:szCs w:val="18"/>
              </w:rPr>
              <w:t>(3) Pobrane z: https://wodzislaw-slaski.pl/_files/articles/aktualnosci/2022/luty/Strategia%20o%C5%9Bwiaty%202022.pdf, data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bCs/>
                <w:sz w:val="18"/>
                <w:szCs w:val="18"/>
              </w:rPr>
              <w:t>dostępu (14.08.2023)</w:t>
            </w:r>
          </w:p>
          <w:p w14:paraId="7498AD72" w14:textId="3665FED6" w:rsidR="005945D9" w:rsidRPr="002D24F7" w:rsidRDefault="00A84015" w:rsidP="00A84015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84015">
              <w:rPr>
                <w:rFonts w:cstheme="minorHAnsi"/>
                <w:bCs/>
                <w:sz w:val="18"/>
                <w:szCs w:val="18"/>
              </w:rPr>
              <w:t>(4) Raport analityczny, Polityka językowa w Europie, IBE 2013</w:t>
            </w:r>
          </w:p>
        </w:tc>
        <w:tc>
          <w:tcPr>
            <w:tcW w:w="1970" w:type="pct"/>
            <w:vAlign w:val="center"/>
          </w:tcPr>
          <w:p w14:paraId="2042ED32" w14:textId="77777777" w:rsidR="00160529" w:rsidRPr="002D24F7" w:rsidRDefault="00160529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160529" w:rsidRPr="002D24F7" w14:paraId="7057A942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0334B103" w14:textId="77777777" w:rsidR="00160529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lastRenderedPageBreak/>
              <w:t>14</w:t>
            </w:r>
            <w:r w:rsidR="00784ED6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177760D6" w14:textId="77777777" w:rsidR="00B30582" w:rsidRPr="002D24F7" w:rsidRDefault="00784ED6" w:rsidP="00B30582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Podobieństwa i różnice w odniesieniu do kwalifikacji o zbliżonym charakterze, w szczególności kwalifikacji włączonych do Zintegrowanego Systemu Kwalifikacji: </w:t>
            </w:r>
          </w:p>
          <w:p w14:paraId="505C050F" w14:textId="206D0D6D" w:rsidR="00160529" w:rsidRPr="002D24F7" w:rsidRDefault="00A84015" w:rsidP="00A84015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Kwalifikacja „Prowadzenie zajęć z powszechnej dwujęzyczności w zakresie języka angielskiego” nie zawiera żadnych wspólnych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zestawów efektów uczenia się z innymi kwalifikacjami rynkowymi włączonymi do Zintegrowanego Systemu Kwalifikacji. Brak jest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kwalifikacji nadawanych w ramach systemów oświaty i szkolnictwa wyższego oraz poza tymi systemami potwierdzających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specyficzne umiejętności wymagane w ramach tej kwalifikacji.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W Zintegrowanym Rejestrze Kwalifikacji nie ma kwalifikacji dotyczących powszechnej dwujęzyczności. Znajdują się jedynie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kwalifikacje o zbliżonym charakterze w ramach studiów wyższych związane z nauczaniem w języku obcym, nauczaniem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dwujęzycznym lub ograniczające się do dziedziny filologii angielskiej.</w:t>
            </w:r>
          </w:p>
        </w:tc>
        <w:tc>
          <w:tcPr>
            <w:tcW w:w="1970" w:type="pct"/>
            <w:vAlign w:val="center"/>
          </w:tcPr>
          <w:p w14:paraId="753AEB09" w14:textId="77777777" w:rsidR="00160529" w:rsidRPr="002D24F7" w:rsidRDefault="00160529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784ED6" w:rsidRPr="002D24F7" w14:paraId="6DC4451C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6E0545E1" w14:textId="77777777" w:rsidR="00784ED6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15</w:t>
            </w:r>
            <w:r w:rsidR="00784ED6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5B56C126" w14:textId="77777777" w:rsidR="00784ED6" w:rsidRPr="002D24F7" w:rsidRDefault="00784ED6" w:rsidP="00B30582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Inne przesłanki potwierdzające zgodność kwalifikacji wolnorynkowej z rozpoznanymi potrzebami rynku pracy i grup osób, do których dana kwalifikacja wolnorynkowa w szczególności jest kierowana: </w:t>
            </w:r>
          </w:p>
          <w:p w14:paraId="7F80EC37" w14:textId="77777777" w:rsidR="00A84015" w:rsidRPr="00A84015" w:rsidRDefault="00A84015" w:rsidP="00A84015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lastRenderedPageBreak/>
              <w:t>Osoby, które mogą być zainteresowane uzyskaniem kwalifikacji, to:</w:t>
            </w:r>
          </w:p>
          <w:p w14:paraId="2A3CA4C0" w14:textId="3AF02201" w:rsidR="00B30582" w:rsidRPr="002D24F7" w:rsidRDefault="00A84015" w:rsidP="00A84015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A84015">
              <w:rPr>
                <w:rFonts w:cstheme="minorHAnsi"/>
                <w:sz w:val="18"/>
                <w:szCs w:val="18"/>
              </w:rPr>
              <w:t>nauczyciele wychowania przedszkolnego i edukacji wczesnoszkolnej,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osoby sprawujące opiekę w żłobkach lub klubach malucha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wolontariusze oraz osoby pracujące w świetlicach środowiskowych oraz w innych miejscach wspierających edukację 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wychowanie,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osoby podejmujące się opieki nad dziećmi w domach rodzinnych, np. opiekunki dziecięce,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rodzice/opiekunowie prawni, w tym rodzice prowadzący edukację domową,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osoby zawodowo zajmujące się opieką nad dziećmi i młodzieżą, ich wychowaniem i nauczaniem, które chcą wzbogacić swój zasób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4015">
              <w:rPr>
                <w:rFonts w:cstheme="minorHAnsi"/>
                <w:sz w:val="18"/>
                <w:szCs w:val="18"/>
              </w:rPr>
              <w:t>metod wykorzystywanych w pracy.</w:t>
            </w:r>
          </w:p>
        </w:tc>
        <w:tc>
          <w:tcPr>
            <w:tcW w:w="1970" w:type="pct"/>
            <w:vAlign w:val="center"/>
          </w:tcPr>
          <w:p w14:paraId="73891A56" w14:textId="77777777" w:rsidR="00784ED6" w:rsidRPr="002D24F7" w:rsidRDefault="00784ED6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784ED6" w:rsidRPr="002D24F7" w14:paraId="1FDA426C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1D9C245B" w14:textId="77777777" w:rsidR="00784ED6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16</w:t>
            </w:r>
            <w:r w:rsidR="00784ED6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0A2B812B" w14:textId="05C88D41" w:rsidR="00784ED6" w:rsidRPr="002D24F7" w:rsidRDefault="00784ED6" w:rsidP="00784ED6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Okres ważności certyfikatu kwalifikacji: </w:t>
            </w:r>
            <w:r w:rsidR="00A84015" w:rsidRPr="00A84015">
              <w:rPr>
                <w:rFonts w:cstheme="minorHAnsi"/>
                <w:bCs/>
                <w:sz w:val="18"/>
                <w:szCs w:val="18"/>
              </w:rPr>
              <w:t>Certyfikat jest ważny 5 lat</w:t>
            </w:r>
          </w:p>
        </w:tc>
        <w:tc>
          <w:tcPr>
            <w:tcW w:w="1970" w:type="pct"/>
            <w:vAlign w:val="center"/>
          </w:tcPr>
          <w:p w14:paraId="4206F463" w14:textId="77777777" w:rsidR="00784ED6" w:rsidRPr="002D24F7" w:rsidRDefault="00784ED6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B30582" w:rsidRPr="002D24F7" w14:paraId="28476E46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1332F584" w14:textId="77777777" w:rsidR="00B30582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2858" w:type="pct"/>
            <w:vAlign w:val="center"/>
          </w:tcPr>
          <w:p w14:paraId="250178FC" w14:textId="0FFBB087" w:rsidR="00B30582" w:rsidRPr="00A84015" w:rsidRDefault="00B30582" w:rsidP="00A84015">
            <w:pPr>
              <w:spacing w:before="120"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Warunki przedłużenia ważności certyfikatu: </w:t>
            </w:r>
            <w:r w:rsidR="00A84015" w:rsidRPr="00A84015">
              <w:rPr>
                <w:rFonts w:cstheme="minorHAnsi"/>
                <w:bCs/>
                <w:sz w:val="18"/>
                <w:szCs w:val="18"/>
              </w:rPr>
              <w:t>W celu odnowienia certyfikatu kandydat zobowiązany jest przedstawić Instytucji Certyfikującej dowody poświadczające</w:t>
            </w:r>
            <w:r w:rsidR="00A8401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A84015" w:rsidRPr="00A84015">
              <w:rPr>
                <w:rFonts w:cstheme="minorHAnsi"/>
                <w:bCs/>
                <w:sz w:val="18"/>
                <w:szCs w:val="18"/>
              </w:rPr>
              <w:t>“Prowadzenie zajęć z powszechnej dwujęzyczności w zakresie języka angielskiego” przez min. 3 lata od momentu uzyskania</w:t>
            </w:r>
            <w:r w:rsidR="00A8401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A84015" w:rsidRPr="00A84015">
              <w:rPr>
                <w:rFonts w:cstheme="minorHAnsi"/>
                <w:bCs/>
                <w:sz w:val="18"/>
                <w:szCs w:val="18"/>
              </w:rPr>
              <w:t>certyfikatu. W razie wątpliwości dotyczących przedstawionych dowodów,</w:t>
            </w:r>
            <w:r w:rsidR="00A8401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A84015" w:rsidRPr="00A84015">
              <w:rPr>
                <w:rFonts w:cstheme="minorHAnsi"/>
                <w:bCs/>
                <w:sz w:val="18"/>
                <w:szCs w:val="18"/>
              </w:rPr>
              <w:t>przedłużenie ważności certyfikatu będzie obiektem</w:t>
            </w:r>
            <w:r w:rsidR="00A8401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A84015" w:rsidRPr="00A84015">
              <w:rPr>
                <w:rFonts w:cstheme="minorHAnsi"/>
                <w:bCs/>
                <w:sz w:val="18"/>
                <w:szCs w:val="18"/>
              </w:rPr>
              <w:t>rozmowy zainteresowanego z komisją walidacyjną, która w jej wyniku podejmuje decyzję o przedłużeniu, bądź odmowie</w:t>
            </w:r>
            <w:r w:rsidR="00A8401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A84015" w:rsidRPr="00A84015">
              <w:rPr>
                <w:rFonts w:cstheme="minorHAnsi"/>
                <w:bCs/>
                <w:sz w:val="18"/>
                <w:szCs w:val="18"/>
              </w:rPr>
              <w:t>przedłużenia ważności certyfikatu.</w:t>
            </w:r>
          </w:p>
        </w:tc>
        <w:tc>
          <w:tcPr>
            <w:tcW w:w="1970" w:type="pct"/>
            <w:vAlign w:val="center"/>
          </w:tcPr>
          <w:p w14:paraId="448B1F95" w14:textId="77777777" w:rsidR="00B30582" w:rsidRPr="002D24F7" w:rsidRDefault="00B30582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784ED6" w:rsidRPr="002D24F7" w14:paraId="30A441F8" w14:textId="77777777" w:rsidTr="00062621">
        <w:trPr>
          <w:trHeight w:val="397"/>
        </w:trPr>
        <w:tc>
          <w:tcPr>
            <w:tcW w:w="172" w:type="pct"/>
            <w:vAlign w:val="center"/>
          </w:tcPr>
          <w:p w14:paraId="575E306C" w14:textId="77777777" w:rsidR="00784ED6" w:rsidRPr="002D24F7" w:rsidRDefault="00B30582" w:rsidP="00785180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2D24F7">
              <w:rPr>
                <w:rFonts w:cstheme="minorHAnsi"/>
                <w:sz w:val="18"/>
                <w:szCs w:val="18"/>
              </w:rPr>
              <w:t>18</w:t>
            </w:r>
            <w:r w:rsidR="00784ED6" w:rsidRPr="002D24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58" w:type="pct"/>
            <w:vAlign w:val="center"/>
          </w:tcPr>
          <w:p w14:paraId="53747387" w14:textId="1BA4A1B4" w:rsidR="00784ED6" w:rsidRPr="002D24F7" w:rsidRDefault="00784ED6" w:rsidP="00784ED6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Kod Międzynarodowej Standardowej Klasyfikacji Edukacji (ISCED): </w:t>
            </w:r>
            <w:r w:rsidR="00AC4BAC" w:rsidRPr="00AC4BAC">
              <w:rPr>
                <w:rFonts w:cstheme="minorHAnsi"/>
                <w:sz w:val="18"/>
                <w:szCs w:val="18"/>
              </w:rPr>
              <w:t>0922 - Usługi związane z opieką nad dziećmi i młodzieżą</w:t>
            </w:r>
          </w:p>
          <w:p w14:paraId="3580E925" w14:textId="340D9E31" w:rsidR="00784ED6" w:rsidRPr="002D24F7" w:rsidRDefault="00784ED6" w:rsidP="00784ED6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24F7">
              <w:rPr>
                <w:rFonts w:cstheme="minorHAnsi"/>
                <w:b/>
                <w:sz w:val="18"/>
                <w:szCs w:val="18"/>
              </w:rPr>
              <w:t xml:space="preserve">Kod PKD: </w:t>
            </w:r>
            <w:r w:rsidR="00AC4BAC" w:rsidRPr="00AC4BAC">
              <w:rPr>
                <w:rFonts w:cstheme="minorHAnsi"/>
                <w:sz w:val="18"/>
                <w:szCs w:val="18"/>
              </w:rPr>
              <w:t>85 - EDUKACJA</w:t>
            </w:r>
          </w:p>
        </w:tc>
        <w:tc>
          <w:tcPr>
            <w:tcW w:w="1970" w:type="pct"/>
            <w:vAlign w:val="center"/>
          </w:tcPr>
          <w:p w14:paraId="2D7D07E2" w14:textId="77777777" w:rsidR="00784ED6" w:rsidRPr="002D24F7" w:rsidRDefault="00784ED6" w:rsidP="00785180">
            <w:pPr>
              <w:spacing w:before="120" w:after="12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</w:tbl>
    <w:p w14:paraId="28838AE8" w14:textId="77777777" w:rsidR="00BF632A" w:rsidRDefault="00BF632A" w:rsidP="00D314CC">
      <w:pPr>
        <w:spacing w:before="240" w:after="240"/>
        <w:jc w:val="center"/>
        <w:rPr>
          <w:b/>
          <w:sz w:val="28"/>
          <w:szCs w:val="28"/>
        </w:rPr>
      </w:pPr>
    </w:p>
    <w:p w14:paraId="5974A884" w14:textId="77777777" w:rsidR="00BF632A" w:rsidRDefault="00BF632A" w:rsidP="00D314CC">
      <w:pPr>
        <w:spacing w:before="240" w:after="240"/>
        <w:jc w:val="center"/>
        <w:rPr>
          <w:b/>
          <w:sz w:val="28"/>
          <w:szCs w:val="28"/>
        </w:rPr>
      </w:pPr>
    </w:p>
    <w:p w14:paraId="6B71BFAB" w14:textId="77777777" w:rsidR="007037AF" w:rsidRDefault="007037AF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Ogólne uwagi na temat kwalifikacji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D314CC" w14:paraId="7BE010B3" w14:textId="77777777" w:rsidTr="00416268">
        <w:tc>
          <w:tcPr>
            <w:tcW w:w="5000" w:type="pct"/>
          </w:tcPr>
          <w:p w14:paraId="05D2FCA9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0A33847D" w14:textId="77777777" w:rsidR="00D314CC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756E5F83" w14:textId="77777777"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265315F5" w14:textId="77777777"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5C7E2B19" w14:textId="77777777" w:rsidR="00416268" w:rsidRPr="00416268" w:rsidRDefault="00416268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6F4848C7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431CED4F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47C8C2A5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14:paraId="5DED9E48" w14:textId="77777777" w:rsidR="00D314CC" w:rsidRPr="00D314CC" w:rsidRDefault="00547C62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lastRenderedPageBreak/>
        <w:t>Podsumowanie uwag</w:t>
      </w:r>
    </w:p>
    <w:tbl>
      <w:tblPr>
        <w:tblStyle w:val="Tabela-Siatka"/>
        <w:tblW w:w="4999" w:type="pct"/>
        <w:tblLook w:val="04A0" w:firstRow="1" w:lastRow="0" w:firstColumn="1" w:lastColumn="0" w:noHBand="0" w:noVBand="1"/>
      </w:tblPr>
      <w:tblGrid>
        <w:gridCol w:w="4952"/>
        <w:gridCol w:w="9037"/>
      </w:tblGrid>
      <w:tr w:rsidR="00547C62" w14:paraId="08CCD84A" w14:textId="77777777" w:rsidTr="00416268">
        <w:tc>
          <w:tcPr>
            <w:tcW w:w="5000" w:type="pct"/>
            <w:gridSpan w:val="2"/>
          </w:tcPr>
          <w:p w14:paraId="7FDE28B6" w14:textId="77777777"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Dalsza praca nad kwalifikacją jest u</w:t>
            </w:r>
            <w:r w:rsidR="00547C62">
              <w:rPr>
                <w:sz w:val="20"/>
                <w:szCs w:val="20"/>
              </w:rPr>
              <w:t>zasadniona</w:t>
            </w:r>
            <w:r>
              <w:rPr>
                <w:sz w:val="20"/>
                <w:szCs w:val="20"/>
              </w:rPr>
              <w:t xml:space="preserve"> </w:t>
            </w:r>
            <w:r w:rsidR="00547C62">
              <w:rPr>
                <w:sz w:val="20"/>
                <w:szCs w:val="20"/>
              </w:rPr>
              <w:t>– głos aprobujący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3966987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C62" w14:paraId="46B818B7" w14:textId="77777777" w:rsidTr="00416268">
        <w:tc>
          <w:tcPr>
            <w:tcW w:w="5000" w:type="pct"/>
            <w:gridSpan w:val="2"/>
          </w:tcPr>
          <w:p w14:paraId="35924043" w14:textId="77777777"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Dalsza praca nad kwalifikacją jest nieuzasadniona </w:t>
            </w:r>
            <w:r w:rsidR="00547C62">
              <w:rPr>
                <w:sz w:val="20"/>
                <w:szCs w:val="20"/>
              </w:rPr>
              <w:t>– głos negujący</w:t>
            </w:r>
            <w:r w:rsidR="00E9053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0046069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268" w14:paraId="1557F17A" w14:textId="77777777" w:rsidTr="00416268">
        <w:trPr>
          <w:trHeight w:val="1134"/>
        </w:trPr>
        <w:tc>
          <w:tcPr>
            <w:tcW w:w="1770" w:type="pct"/>
            <w:vAlign w:val="center"/>
          </w:tcPr>
          <w:p w14:paraId="1F98FE2C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30" w:type="pct"/>
            <w:vAlign w:val="center"/>
          </w:tcPr>
          <w:p w14:paraId="4B5BA1B8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16268" w14:paraId="15B3191C" w14:textId="77777777" w:rsidTr="00416268">
        <w:trPr>
          <w:trHeight w:val="1134"/>
        </w:trPr>
        <w:tc>
          <w:tcPr>
            <w:tcW w:w="1770" w:type="pct"/>
            <w:vAlign w:val="center"/>
          </w:tcPr>
          <w:p w14:paraId="69D7A2CB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6C3170">
              <w:rPr>
                <w:sz w:val="20"/>
                <w:szCs w:val="20"/>
              </w:rPr>
              <w:t xml:space="preserve"> osoby reprezentującej podmiot zgłaszający uwagi</w:t>
            </w:r>
          </w:p>
        </w:tc>
        <w:tc>
          <w:tcPr>
            <w:tcW w:w="3230" w:type="pct"/>
            <w:vAlign w:val="center"/>
          </w:tcPr>
          <w:p w14:paraId="108D3EE9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14:paraId="12D6FDF3" w14:textId="77777777" w:rsidR="00482A76" w:rsidRPr="006C3170" w:rsidRDefault="00482A76" w:rsidP="006C3170">
      <w:pPr>
        <w:spacing w:before="240" w:after="240"/>
        <w:rPr>
          <w:szCs w:val="20"/>
        </w:rPr>
      </w:pPr>
    </w:p>
    <w:sectPr w:rsidR="00482A76" w:rsidRPr="006C3170" w:rsidSect="00FF6919">
      <w:headerReference w:type="default" r:id="rId8"/>
      <w:footerReference w:type="default" r:id="rId9"/>
      <w:pgSz w:w="16838" w:h="11906" w:orient="landscape"/>
      <w:pgMar w:top="1418" w:right="1418" w:bottom="1418" w:left="1418" w:header="10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76940" w14:textId="77777777" w:rsidR="00F35428" w:rsidRDefault="00F35428" w:rsidP="009F72A9">
      <w:pPr>
        <w:spacing w:after="0" w:line="240" w:lineRule="auto"/>
      </w:pPr>
      <w:r>
        <w:separator/>
      </w:r>
    </w:p>
  </w:endnote>
  <w:endnote w:type="continuationSeparator" w:id="0">
    <w:p w14:paraId="1867F5EE" w14:textId="77777777" w:rsidR="00F35428" w:rsidRDefault="00F35428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495110400"/>
      <w:docPartObj>
        <w:docPartGallery w:val="Page Numbers (Bottom of Page)"/>
        <w:docPartUnique/>
      </w:docPartObj>
    </w:sdtPr>
    <w:sdtEndPr/>
    <w:sdtContent>
      <w:p w14:paraId="31C0552A" w14:textId="77777777" w:rsidR="008F094E" w:rsidRPr="00E544F1" w:rsidRDefault="0043228B" w:rsidP="00D83281">
        <w:pPr>
          <w:pStyle w:val="Stopka"/>
          <w:jc w:val="center"/>
          <w:rPr>
            <w:sz w:val="16"/>
          </w:rPr>
        </w:pPr>
        <w:r w:rsidRPr="00E544F1">
          <w:rPr>
            <w:sz w:val="16"/>
          </w:rPr>
          <w:fldChar w:fldCharType="begin"/>
        </w:r>
        <w:r w:rsidR="008F094E" w:rsidRPr="00E544F1">
          <w:rPr>
            <w:sz w:val="16"/>
          </w:rPr>
          <w:instrText>PAGE   \* MERGEFORMAT</w:instrText>
        </w:r>
        <w:r w:rsidRPr="00E544F1">
          <w:rPr>
            <w:sz w:val="16"/>
          </w:rPr>
          <w:fldChar w:fldCharType="separate"/>
        </w:r>
        <w:r w:rsidR="00B30582">
          <w:rPr>
            <w:noProof/>
            <w:sz w:val="16"/>
          </w:rPr>
          <w:t>20</w:t>
        </w:r>
        <w:r w:rsidRPr="00E544F1">
          <w:rPr>
            <w:sz w:val="16"/>
          </w:rPr>
          <w:fldChar w:fldCharType="end"/>
        </w:r>
      </w:p>
    </w:sdtContent>
  </w:sdt>
  <w:p w14:paraId="3A8FED12" w14:textId="77777777" w:rsidR="008F094E" w:rsidRDefault="008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01A67" w14:textId="77777777" w:rsidR="00F35428" w:rsidRDefault="00F35428" w:rsidP="009F72A9">
      <w:pPr>
        <w:spacing w:after="0" w:line="240" w:lineRule="auto"/>
      </w:pPr>
      <w:r>
        <w:separator/>
      </w:r>
    </w:p>
  </w:footnote>
  <w:footnote w:type="continuationSeparator" w:id="0">
    <w:p w14:paraId="5C14BE75" w14:textId="77777777" w:rsidR="00F35428" w:rsidRDefault="00F35428" w:rsidP="009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F731" w14:textId="77777777" w:rsidR="006A672C" w:rsidRDefault="006A672C">
    <w:pPr>
      <w:pStyle w:val="Nagwek"/>
    </w:pPr>
  </w:p>
  <w:p w14:paraId="1EFDF94E" w14:textId="77777777" w:rsidR="006A672C" w:rsidRDefault="006A6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18A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DE9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717D"/>
    <w:multiLevelType w:val="hybridMultilevel"/>
    <w:tmpl w:val="460A847E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 w15:restartNumberingAfterBreak="0">
    <w:nsid w:val="0521756E"/>
    <w:multiLevelType w:val="hybridMultilevel"/>
    <w:tmpl w:val="B85EA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20C3"/>
    <w:multiLevelType w:val="hybridMultilevel"/>
    <w:tmpl w:val="2766C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C3D45"/>
    <w:multiLevelType w:val="hybridMultilevel"/>
    <w:tmpl w:val="3F4C9006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0ECA06B5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A6A23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43F22"/>
    <w:multiLevelType w:val="hybridMultilevel"/>
    <w:tmpl w:val="D0EC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B0A6C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32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5F1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07635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66A0D"/>
    <w:multiLevelType w:val="hybridMultilevel"/>
    <w:tmpl w:val="AB021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2137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A3F1C"/>
    <w:multiLevelType w:val="hybridMultilevel"/>
    <w:tmpl w:val="40F67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33292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8253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37B32"/>
    <w:multiLevelType w:val="hybridMultilevel"/>
    <w:tmpl w:val="B824A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A3A1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C24A9"/>
    <w:multiLevelType w:val="hybridMultilevel"/>
    <w:tmpl w:val="4BD6C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6DCB"/>
    <w:multiLevelType w:val="hybridMultilevel"/>
    <w:tmpl w:val="BDC81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E674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B133F"/>
    <w:multiLevelType w:val="hybridMultilevel"/>
    <w:tmpl w:val="2A22CB84"/>
    <w:lvl w:ilvl="0" w:tplc="06BE139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3BE62F27"/>
    <w:multiLevelType w:val="hybridMultilevel"/>
    <w:tmpl w:val="DD3E48E4"/>
    <w:lvl w:ilvl="0" w:tplc="5CE8C584">
      <w:start w:val="1"/>
      <w:numFmt w:val="lowerLetter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3BEF7D3C"/>
    <w:multiLevelType w:val="hybridMultilevel"/>
    <w:tmpl w:val="8A24E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4718B"/>
    <w:multiLevelType w:val="hybridMultilevel"/>
    <w:tmpl w:val="8182F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2349F"/>
    <w:multiLevelType w:val="hybridMultilevel"/>
    <w:tmpl w:val="3F1CA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E727E"/>
    <w:multiLevelType w:val="hybridMultilevel"/>
    <w:tmpl w:val="3F4C9006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0" w15:restartNumberingAfterBreak="0">
    <w:nsid w:val="4B815ECF"/>
    <w:multiLevelType w:val="hybridMultilevel"/>
    <w:tmpl w:val="68F02A24"/>
    <w:lvl w:ilvl="0" w:tplc="6D361314">
      <w:start w:val="1"/>
      <w:numFmt w:val="lowerLetter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1" w15:restartNumberingAfterBreak="0">
    <w:nsid w:val="4DA16071"/>
    <w:multiLevelType w:val="hybridMultilevel"/>
    <w:tmpl w:val="E6AAB44E"/>
    <w:lvl w:ilvl="0" w:tplc="F0B050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5376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725D0"/>
    <w:multiLevelType w:val="hybridMultilevel"/>
    <w:tmpl w:val="4BD6C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60958"/>
    <w:multiLevelType w:val="hybridMultilevel"/>
    <w:tmpl w:val="4BD6C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60A6F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949DD"/>
    <w:multiLevelType w:val="hybridMultilevel"/>
    <w:tmpl w:val="AF96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2480B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27651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0423B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86706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105E5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44CB5"/>
    <w:multiLevelType w:val="hybridMultilevel"/>
    <w:tmpl w:val="3F4C9006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3" w15:restartNumberingAfterBreak="0">
    <w:nsid w:val="7D143626"/>
    <w:multiLevelType w:val="hybridMultilevel"/>
    <w:tmpl w:val="6E5C1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95526">
    <w:abstractNumId w:val="23"/>
  </w:num>
  <w:num w:numId="2" w16cid:durableId="181212572">
    <w:abstractNumId w:val="36"/>
  </w:num>
  <w:num w:numId="3" w16cid:durableId="1059014841">
    <w:abstractNumId w:val="21"/>
  </w:num>
  <w:num w:numId="4" w16cid:durableId="1054504021">
    <w:abstractNumId w:val="26"/>
  </w:num>
  <w:num w:numId="5" w16cid:durableId="1843624182">
    <w:abstractNumId w:val="8"/>
  </w:num>
  <w:num w:numId="6" w16cid:durableId="1078212967">
    <w:abstractNumId w:val="13"/>
  </w:num>
  <w:num w:numId="7" w16cid:durableId="572858055">
    <w:abstractNumId w:val="24"/>
  </w:num>
  <w:num w:numId="8" w16cid:durableId="1180047594">
    <w:abstractNumId w:val="22"/>
  </w:num>
  <w:num w:numId="9" w16cid:durableId="1127356171">
    <w:abstractNumId w:val="17"/>
  </w:num>
  <w:num w:numId="10" w16cid:durableId="1091199092">
    <w:abstractNumId w:val="39"/>
  </w:num>
  <w:num w:numId="11" w16cid:durableId="67266186">
    <w:abstractNumId w:val="14"/>
  </w:num>
  <w:num w:numId="12" w16cid:durableId="676729787">
    <w:abstractNumId w:val="12"/>
  </w:num>
  <w:num w:numId="13" w16cid:durableId="204097575">
    <w:abstractNumId w:val="19"/>
  </w:num>
  <w:num w:numId="14" w16cid:durableId="1692952495">
    <w:abstractNumId w:val="32"/>
  </w:num>
  <w:num w:numId="15" w16cid:durableId="143620160">
    <w:abstractNumId w:val="10"/>
  </w:num>
  <w:num w:numId="16" w16cid:durableId="1966883632">
    <w:abstractNumId w:val="27"/>
  </w:num>
  <w:num w:numId="17" w16cid:durableId="211694912">
    <w:abstractNumId w:val="3"/>
  </w:num>
  <w:num w:numId="18" w16cid:durableId="319160775">
    <w:abstractNumId w:val="33"/>
  </w:num>
  <w:num w:numId="19" w16cid:durableId="347758103">
    <w:abstractNumId w:val="38"/>
  </w:num>
  <w:num w:numId="20" w16cid:durableId="1224560699">
    <w:abstractNumId w:val="6"/>
  </w:num>
  <w:num w:numId="21" w16cid:durableId="1693526831">
    <w:abstractNumId w:val="15"/>
  </w:num>
  <w:num w:numId="22" w16cid:durableId="325522402">
    <w:abstractNumId w:val="18"/>
  </w:num>
  <w:num w:numId="23" w16cid:durableId="1067608744">
    <w:abstractNumId w:val="40"/>
  </w:num>
  <w:num w:numId="24" w16cid:durableId="694572854">
    <w:abstractNumId w:val="16"/>
  </w:num>
  <w:num w:numId="25" w16cid:durableId="896667964">
    <w:abstractNumId w:val="1"/>
  </w:num>
  <w:num w:numId="26" w16cid:durableId="780610438">
    <w:abstractNumId w:val="37"/>
  </w:num>
  <w:num w:numId="27" w16cid:durableId="753865004">
    <w:abstractNumId w:val="11"/>
  </w:num>
  <w:num w:numId="28" w16cid:durableId="795870838">
    <w:abstractNumId w:val="7"/>
  </w:num>
  <w:num w:numId="29" w16cid:durableId="1221096500">
    <w:abstractNumId w:val="0"/>
  </w:num>
  <w:num w:numId="30" w16cid:durableId="604965968">
    <w:abstractNumId w:val="9"/>
  </w:num>
  <w:num w:numId="31" w16cid:durableId="174805125">
    <w:abstractNumId w:val="43"/>
  </w:num>
  <w:num w:numId="32" w16cid:durableId="1024749820">
    <w:abstractNumId w:val="31"/>
  </w:num>
  <w:num w:numId="33" w16cid:durableId="2015186165">
    <w:abstractNumId w:val="2"/>
  </w:num>
  <w:num w:numId="34" w16cid:durableId="257831913">
    <w:abstractNumId w:val="34"/>
  </w:num>
  <w:num w:numId="35" w16cid:durableId="805781790">
    <w:abstractNumId w:val="29"/>
  </w:num>
  <w:num w:numId="36" w16cid:durableId="706415006">
    <w:abstractNumId w:val="42"/>
  </w:num>
  <w:num w:numId="37" w16cid:durableId="259610866">
    <w:abstractNumId w:val="5"/>
  </w:num>
  <w:num w:numId="38" w16cid:durableId="1964732571">
    <w:abstractNumId w:val="20"/>
  </w:num>
  <w:num w:numId="39" w16cid:durableId="96297272">
    <w:abstractNumId w:val="4"/>
  </w:num>
  <w:num w:numId="40" w16cid:durableId="457920482">
    <w:abstractNumId w:val="28"/>
  </w:num>
  <w:num w:numId="41" w16cid:durableId="1326515640">
    <w:abstractNumId w:val="35"/>
  </w:num>
  <w:num w:numId="42" w16cid:durableId="1426998146">
    <w:abstractNumId w:val="41"/>
  </w:num>
  <w:num w:numId="43" w16cid:durableId="595527093">
    <w:abstractNumId w:val="25"/>
  </w:num>
  <w:num w:numId="44" w16cid:durableId="382817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A9"/>
    <w:rsid w:val="00007547"/>
    <w:rsid w:val="00045F7D"/>
    <w:rsid w:val="00062621"/>
    <w:rsid w:val="00083073"/>
    <w:rsid w:val="000A0AFB"/>
    <w:rsid w:val="000B3648"/>
    <w:rsid w:val="000B3B7D"/>
    <w:rsid w:val="000C6F29"/>
    <w:rsid w:val="000D0392"/>
    <w:rsid w:val="000E2CD8"/>
    <w:rsid w:val="000E3310"/>
    <w:rsid w:val="000E4702"/>
    <w:rsid w:val="000F0585"/>
    <w:rsid w:val="00115417"/>
    <w:rsid w:val="00160529"/>
    <w:rsid w:val="00167AE1"/>
    <w:rsid w:val="0017672D"/>
    <w:rsid w:val="0017762E"/>
    <w:rsid w:val="001B6E4B"/>
    <w:rsid w:val="001B7ED2"/>
    <w:rsid w:val="002266EB"/>
    <w:rsid w:val="00247F4B"/>
    <w:rsid w:val="00264210"/>
    <w:rsid w:val="002817E9"/>
    <w:rsid w:val="002939A0"/>
    <w:rsid w:val="00294DCA"/>
    <w:rsid w:val="00296A89"/>
    <w:rsid w:val="002A25A6"/>
    <w:rsid w:val="002D1B19"/>
    <w:rsid w:val="002D24F7"/>
    <w:rsid w:val="002E15E6"/>
    <w:rsid w:val="002E67C7"/>
    <w:rsid w:val="00302802"/>
    <w:rsid w:val="003578CF"/>
    <w:rsid w:val="003A284E"/>
    <w:rsid w:val="003B0533"/>
    <w:rsid w:val="003B712C"/>
    <w:rsid w:val="003D23C4"/>
    <w:rsid w:val="00415B6D"/>
    <w:rsid w:val="00416268"/>
    <w:rsid w:val="00424F7D"/>
    <w:rsid w:val="004272D2"/>
    <w:rsid w:val="0043228B"/>
    <w:rsid w:val="00440E4B"/>
    <w:rsid w:val="00443856"/>
    <w:rsid w:val="00454F1A"/>
    <w:rsid w:val="00462F9D"/>
    <w:rsid w:val="00476FA7"/>
    <w:rsid w:val="00480B33"/>
    <w:rsid w:val="00482A76"/>
    <w:rsid w:val="0049435E"/>
    <w:rsid w:val="004A4CB6"/>
    <w:rsid w:val="004B3212"/>
    <w:rsid w:val="004B3FEC"/>
    <w:rsid w:val="004D0CB3"/>
    <w:rsid w:val="004F254D"/>
    <w:rsid w:val="005333E2"/>
    <w:rsid w:val="00547C62"/>
    <w:rsid w:val="00583380"/>
    <w:rsid w:val="00583843"/>
    <w:rsid w:val="00587487"/>
    <w:rsid w:val="005945D9"/>
    <w:rsid w:val="005A0405"/>
    <w:rsid w:val="005A044D"/>
    <w:rsid w:val="005D5309"/>
    <w:rsid w:val="005E179C"/>
    <w:rsid w:val="00601EAD"/>
    <w:rsid w:val="00653086"/>
    <w:rsid w:val="006914ED"/>
    <w:rsid w:val="006949C2"/>
    <w:rsid w:val="006A3C62"/>
    <w:rsid w:val="006A4371"/>
    <w:rsid w:val="006A672C"/>
    <w:rsid w:val="006C3170"/>
    <w:rsid w:val="007007EC"/>
    <w:rsid w:val="00700BE7"/>
    <w:rsid w:val="00702CC9"/>
    <w:rsid w:val="007037AF"/>
    <w:rsid w:val="007122FA"/>
    <w:rsid w:val="00730F0A"/>
    <w:rsid w:val="00741336"/>
    <w:rsid w:val="0076294D"/>
    <w:rsid w:val="0076587A"/>
    <w:rsid w:val="00782A08"/>
    <w:rsid w:val="00784ED6"/>
    <w:rsid w:val="00785180"/>
    <w:rsid w:val="007A1B6C"/>
    <w:rsid w:val="007A2F12"/>
    <w:rsid w:val="007B059F"/>
    <w:rsid w:val="007C49F7"/>
    <w:rsid w:val="007E4A03"/>
    <w:rsid w:val="007E79E3"/>
    <w:rsid w:val="007F5084"/>
    <w:rsid w:val="007F73B7"/>
    <w:rsid w:val="00826614"/>
    <w:rsid w:val="008328AE"/>
    <w:rsid w:val="00836E6F"/>
    <w:rsid w:val="00851C71"/>
    <w:rsid w:val="0085429A"/>
    <w:rsid w:val="00873894"/>
    <w:rsid w:val="008B612B"/>
    <w:rsid w:val="008D7C81"/>
    <w:rsid w:val="008E5969"/>
    <w:rsid w:val="008F0025"/>
    <w:rsid w:val="008F094E"/>
    <w:rsid w:val="008F0B8E"/>
    <w:rsid w:val="009378D0"/>
    <w:rsid w:val="00937ED0"/>
    <w:rsid w:val="00953CEE"/>
    <w:rsid w:val="00960736"/>
    <w:rsid w:val="009653BF"/>
    <w:rsid w:val="0097663F"/>
    <w:rsid w:val="0099774D"/>
    <w:rsid w:val="009A5C33"/>
    <w:rsid w:val="009B43F8"/>
    <w:rsid w:val="009F0D2E"/>
    <w:rsid w:val="009F72A9"/>
    <w:rsid w:val="00A0429B"/>
    <w:rsid w:val="00A134CA"/>
    <w:rsid w:val="00A154A9"/>
    <w:rsid w:val="00A375DF"/>
    <w:rsid w:val="00A579E6"/>
    <w:rsid w:val="00A81482"/>
    <w:rsid w:val="00A84015"/>
    <w:rsid w:val="00A931FD"/>
    <w:rsid w:val="00AB7337"/>
    <w:rsid w:val="00AC4170"/>
    <w:rsid w:val="00AC4BAC"/>
    <w:rsid w:val="00AE3ED0"/>
    <w:rsid w:val="00AE5227"/>
    <w:rsid w:val="00AF5A7A"/>
    <w:rsid w:val="00B07E97"/>
    <w:rsid w:val="00B30582"/>
    <w:rsid w:val="00B44CE2"/>
    <w:rsid w:val="00B550F4"/>
    <w:rsid w:val="00B65DF6"/>
    <w:rsid w:val="00BA783A"/>
    <w:rsid w:val="00BD523D"/>
    <w:rsid w:val="00BF3A68"/>
    <w:rsid w:val="00BF632A"/>
    <w:rsid w:val="00C14C0C"/>
    <w:rsid w:val="00C20DA5"/>
    <w:rsid w:val="00C219FB"/>
    <w:rsid w:val="00C40413"/>
    <w:rsid w:val="00CA27A0"/>
    <w:rsid w:val="00CC7CA0"/>
    <w:rsid w:val="00CD4C80"/>
    <w:rsid w:val="00CD6D8E"/>
    <w:rsid w:val="00CF6DFA"/>
    <w:rsid w:val="00D12E26"/>
    <w:rsid w:val="00D314CC"/>
    <w:rsid w:val="00D34408"/>
    <w:rsid w:val="00D43C71"/>
    <w:rsid w:val="00D73D2F"/>
    <w:rsid w:val="00D83281"/>
    <w:rsid w:val="00D8570B"/>
    <w:rsid w:val="00DC1473"/>
    <w:rsid w:val="00DD455B"/>
    <w:rsid w:val="00DE70B8"/>
    <w:rsid w:val="00DF2E99"/>
    <w:rsid w:val="00DF78D8"/>
    <w:rsid w:val="00E257F4"/>
    <w:rsid w:val="00E51980"/>
    <w:rsid w:val="00E544F1"/>
    <w:rsid w:val="00E622FE"/>
    <w:rsid w:val="00E643BA"/>
    <w:rsid w:val="00E7379D"/>
    <w:rsid w:val="00E90533"/>
    <w:rsid w:val="00E917BB"/>
    <w:rsid w:val="00E9321E"/>
    <w:rsid w:val="00EA3452"/>
    <w:rsid w:val="00EB211C"/>
    <w:rsid w:val="00EB63CB"/>
    <w:rsid w:val="00EF075D"/>
    <w:rsid w:val="00F127CA"/>
    <w:rsid w:val="00F17FA5"/>
    <w:rsid w:val="00F35428"/>
    <w:rsid w:val="00F408AB"/>
    <w:rsid w:val="00F57323"/>
    <w:rsid w:val="00F5762E"/>
    <w:rsid w:val="00F70CE9"/>
    <w:rsid w:val="00F833C5"/>
    <w:rsid w:val="00FA1AA9"/>
    <w:rsid w:val="00FC3581"/>
    <w:rsid w:val="00FC6B6E"/>
    <w:rsid w:val="00FE70B4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245ADD"/>
  <w15:docId w15:val="{7C1AB4DA-77C4-48B0-84B8-34B212A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59"/>
    <w:rsid w:val="00BA783A"/>
    <w:pPr>
      <w:spacing w:after="0" w:line="240" w:lineRule="auto"/>
    </w:pPr>
    <w:rPr>
      <w:rFonts w:asciiTheme="minorHAnsi" w:hAnsiTheme="minorHAnsi"/>
      <w:sz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4F2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84"/>
    <w:rPr>
      <w:rFonts w:ascii="Segoe UI" w:hAnsi="Segoe UI" w:cs="Segoe UI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2A08"/>
    <w:rPr>
      <w:rFonts w:ascii="Tahoma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784ED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11C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F412-999D-4B6D-8054-2F2D9446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2936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Budz</dc:creator>
  <cp:lastModifiedBy>Maksymiuk Katarzyna</cp:lastModifiedBy>
  <cp:revision>15</cp:revision>
  <dcterms:created xsi:type="dcterms:W3CDTF">2024-05-15T10:41:00Z</dcterms:created>
  <dcterms:modified xsi:type="dcterms:W3CDTF">2025-02-07T10:01:00Z</dcterms:modified>
</cp:coreProperties>
</file>