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98511A" w:rsidP="00877A10">
      <w:pPr>
        <w:spacing w:before="120" w:after="120"/>
        <w:jc w:val="center"/>
        <w:rPr>
          <w:i/>
        </w:rPr>
      </w:pPr>
      <w:r w:rsidRPr="0098511A">
        <w:rPr>
          <w:i/>
        </w:rPr>
        <w:t>Wykorzystanie biblioterapii podczas warsztatów ogólnorozwojowych dla dzieci i młodzieży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98511A" w:rsidRDefault="0098511A" w:rsidP="007E4966">
      <w:pPr>
        <w:spacing w:after="0"/>
        <w:jc w:val="center"/>
        <w:rPr>
          <w:rFonts w:ascii="Arial" w:hAnsi="Arial" w:cs="Arial"/>
        </w:rPr>
      </w:pPr>
      <w:r w:rsidRPr="0098511A">
        <w:rPr>
          <w:rFonts w:ascii="Arial" w:hAnsi="Arial" w:cs="Arial"/>
        </w:rPr>
        <w:t xml:space="preserve">Regionalny Zespół Placówek Wsparcia Edukacji 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98511A" w:rsidRPr="00BD3EC7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 biblioterapii podczas warsztatów ogólnorozwojowych dla dzieci i młodzieży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BD3EC7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BD3EC7" w:rsidRPr="00BD3EC7" w:rsidRDefault="00BD3EC7" w:rsidP="00BD3E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Istotnym celem biblioterapii jest wspieranie rozwoju i samorealizacji uczestników, udzielanie</w:t>
            </w:r>
          </w:p>
          <w:p w:rsidR="00BD3EC7" w:rsidRPr="00BD3EC7" w:rsidRDefault="00BD3EC7" w:rsidP="00BD3E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 xml:space="preserve">psychicznego wsparcia, pomaganie w redukowaniu stresu, lęku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 napięcia, wzmacnianie wiary w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siebie i w swoje możliwości. Biblioterapia pomaga pokonać poczucie niezrozumienia,</w:t>
            </w:r>
          </w:p>
          <w:p w:rsidR="00EA005D" w:rsidRPr="00367168" w:rsidRDefault="00BD3EC7" w:rsidP="00BD3E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osamotnienia, stanowi pomoc w zrozumieniu swoich emocji,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 przeciwdziałaniu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zachowaniom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agresywnym i w przezwyciężaniu trudności emocjonalnych. Skłania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do przemyśleń i autorefleksji,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kształtuje postawy moralne, rozbudza wyobraźnię, wspiera 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rocesy poznawcze. Oddziaływanie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biblioterapii może być środkiem do realizacji potrzeb. Służy również wspo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maganiu ogólnego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rozwoju dziecka i tworzeniu dobrych relacji z innymi ludźmi. Bibl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ioterapia ponadto może stanowić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 xml:space="preserve">pomoc w diagnozowaniu potrzeb jednostki oraz w pracy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 grupą sygnalizującą konkretne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problemy (np. odrzucenie w grupie rówieśniczej, lęki, fobie szko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lne, problemy z samoakceptacją,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poczuciem własnej wartości); sprzyja rozwiązywaniu probl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emów już zdiagnozowanych. Osoba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posiadająca kwalifikację „Wykorzystanie biblioterapii podczas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arsztatów ogólnorozwojowych dla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dzieci i młodzieży” jest przygotowana do samodzielnego pro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wadzenia systematycznej pracy z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grupą dzieci lub młodzieży o stałym składzie (do ok.15 os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ób) lub indywidualnie. Prowadzi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warsztaty w oparciu o terapeutyczny aspekt literatury,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wykorzystując wyselekcjonowane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materiały czytelnicze bądź ich substytuty (np. audiobooki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). Dobiera odpowiednie metody i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techniki pracy; przeprowadza warsztaty zgodnie z zasadami pracy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grupowej lub/i indywidualnie i </w:t>
            </w:r>
            <w:r w:rsidRPr="00BD3EC7">
              <w:rPr>
                <w:rFonts w:ascii="Arial" w:hAnsi="Arial" w:cs="Arial"/>
                <w:sz w:val="18"/>
                <w:szCs w:val="18"/>
                <w:lang w:val="pl-PL"/>
              </w:rPr>
              <w:t>dokonuje ich ewaluacji. Orientacyjny koszt uzyskania kwalifikacji to 1000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100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adresowana jest do wszystkich osób, które chcą poszerzyć i udokumentować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odrębnym certyfikatem swoje umiejętności związane z prowadzeniem zajęć czytelniczych,</w:t>
            </w:r>
          </w:p>
          <w:p w:rsidR="00102F7E" w:rsidRPr="00102F7E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wychowawczych, ogólnorozwojowych dla dzieci i młodzieży. Grupą szczególnie zain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teresowaną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 mogą być nauczyciele, pedagodzy, dydaktycy, wychowawcy pracujący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placówkach oświatowych (przedszkolach, szkołach różnych typów i etapów edukacji zarówno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publicznych jak i niepublicznych; w tym także w szkołach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specjalny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ch). Dodatkowo kwalifikacja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skierowana jest do bibliotekarzy, wychowawców świet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lic środowiskowych, wychowawców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placówek wsparcia dziennego, psychologów, animatorów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kultury, trenerów, edukatorów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instruktorów. Kwalifikacją mogą być zainteresowane osoby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wadzące indywidualną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działalność gospodarczą bądź zatrudnione w firmach/i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nstytucjach świadczących usługi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edukacyjne (takie jak placówki oświatowe, szkoły 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ższe, stowarzyszenia, fundacje,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organizacje pozarządowe) czy wspomagające edukację w zakresie pomocy psychologicznopedagogicznej.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na poziomie VI PRK. Dyplom ukończen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min. studiów licencjackich o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specjalności nauczycielskiej lub min. studia licencjackie uzu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pełnione świadectwem ukończenia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kursu pedagogicznego.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pełna na poziomie VI PRK. Dyplom ukończen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min. studiów licencjackich o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specjalności nauczycielskiej lub min. studia licencjackie uzu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pełnione świadectwem ukończenia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kursu pedagogicznego.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Człowiek we współczesnym zglobalizowanym świecie doświadcza kryzysu wartości. W pog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oni za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sukcesem, który jest wyznacznikiem szczęścia ulega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negatywnym zjawiskom społecznym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oddziaływującym na jego kondycję psychiczną. Często 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pomina o higienie psychicznej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ćwiczeniu umiejętności psychospołecznych, które mogą łagodzić stres i napięcia 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yciowe, a tym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samym minimalizować rozwój zaburzeń i chorób o podłoż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psychosomatycznym. Instytucje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oświatowe i kulturalne realizują zadanie wspierania sw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oich wychowanków, użytkowników,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klientów w taki sposób, aby mogli się oni harmonijnie rozwijać, nabywać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nowe kompetencje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społeczne i wykształcić w sobie pożądane nawyki wspierające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proces zdrowego funkcjonowania.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Biblioterapia stanowi doskonałą formę wspomagającą te dzi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ałania. Opierając się w głównej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mierze na odpowiednio dobranych materiałach czytelniczych 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ub ich substytutach, ma szerokie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zastosowanie zarówno w pracy rozwojowo-profilaktycznej, jak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terapeutycznej. Stanowi formę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poradnictwa i jest metodą rozwoju osobistego. Wspiera funkcjonowanie człowieka w sferz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emocjonalnej, intelektualnej oraz społecznej [1]. Bibliote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rapia reguluje system nerwowy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psychikę człowieka w działaniach wychowawczych wobe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 czytelników zdrowych w sensie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fizycznym, ale borykających się z różnego rodzaju problemami, w tym głównie dotycząc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postaw i zachowania, np. niedostosowanie społeczne, agres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ja, uzależnienia. Głównym celem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biblioterapii, rozumianej jako oddziaływanie pomo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cowe, jest wsparcie odbiorców w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rozwiązywaniu konkretnych trudności i poprawie jakości życia. W Polsce od ponad 20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lat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biblioterapia zyskuje na popularności jako skuteczna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forma terapii pedagogicznej [2]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wspomagająca proces edukacyjny i wychowawczy w pracy nauczy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ciela, bibliotekarza, pedagoga,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trenera i wychowawcy. Biblioterapia wpływa na kształtowanie zasobów psychos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połecznych, na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rozwój potencjału zdrowotnego jednostki, na poziom efektywnej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edukacji i dobrego wychowania.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Biblioterapia jako terapia czytelnicza zyskuje na znaczeniu, co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potwierdzają liczne publikacje,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programy czytelnicze i biblioterapeutyczne, akcje, projekty dydaktyków praktyków. Działania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biblioterapeutyczne mogą być zastosowane w odnie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sieniu do zapisów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w dokumentach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kształtujących politykę Państwa w zakresie podstawy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ogramowej kształcenia ogólnego,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podstawy programowej wychowania przedszkolnego [3], zad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ań profilaktyczno-wychowawczych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placówek oświatowych, wychowania w duchu akceptacji i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zacunku dla drugiego człowieka,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kształtowania postawy szacunku dla środowiska, nabywan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 kompetencji społecznych [4],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wprowadzania w świat wartości, wzmacniania poczucia tożsamośc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[5], organizacji i udzielania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pomocy psychologiczno-pedagogicznej, a w szczególności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organizacji zajęć rozwijających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kompetencje emocjonalno-społeczne [6], umiejętności uczenia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przez całe życie – zgodne ze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Zintegrowaną Strategią Umiejętności 2030. Niniejsza kwalifi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kacja wpisuje się w następujące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obszary ZSK: I- UMIEJĘTNOŚCI PODSTAWOWE, PRZEKROJOWE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ZAWODOWE DZIECI, MŁODZIEŻY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OSÓB DOROSŁYCH; III- ROZWIJANIE UMIEJĘTNOŚCI W EDUKACJI FORMALN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– KADRY UCZĄCE; IVROZWIJANIE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POZA EDUKACJĄ 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ORMALNĄ; VI – wsparcie DORACTWA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oraz VIII - PLANOWANIE UCZENIA SIĘ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RZEZ CAŁE ŻYCIE I POTWIERDZANIE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UMIEJĘTNOŚCI. [7] Młodym osobom wchodzącym na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rynek pracy brakuje określonych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miękkich, takich jak utrzymywanie kontaktów z klie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ntami, komunikatywność, kultura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osobista, umiejętność autoprezentacji. Pracodawcy zwracaj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też uwagę na znaczące braki w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poczucia odpowiedzialności, dyscypliny, uczciwośc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i, wiarygodności, pracowitości,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staranności oraz dokładności wśród przyszłych kadr. [8] Oddzia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ływania biblioterapii sprzyjają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regulacji tych deficytów, gdyż nastawione są w głównej mierz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na kształtowanie umiejętności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miękkich osób uczestniczących w warsztatach. Działania biblioterapeuty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czne mają chronić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psychikę dzieci i młodzieży zapobiegając depresji, która w ostatni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latach coraz częściej dotyka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młodych ludzi, niejednokrotnie prowadząc do prób samobójczych, jak i dokonanych samobójstw.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Raporty Policji za 2021 rok pokazują gwałtowny wzrost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wań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samobójczych w Polsce wśród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młodych osób. W 2021 roku 1496 dzieci i nastolatków poniż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18. roku życia podjęło próbę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samobójczą, aż 127 z tych prób zakończyło się śmiercią. W stosu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nku do 2020 roku jest to wzrost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odpowiednio o 77%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samobójczych oraz o 19% śmierci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amobójczych. [9]. Biblioterapia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 rodzaj pomocy w rozwiązywaniu osobistych problemów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ma za zadanie łagodzić skutki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negatywnych doświadczeń dzieci i młodzieży, jest dzia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łaniem profilaktycznym, mającym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zwiększyć szansę uczestników na ich dobre i spełnione życie.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Stwarza możliwość utożsamienia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z bohaterem literackim, przeżycia swoistego katharsis,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zięki czemu otwiera perspektywę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nowych sposobów radzenia sobie z problemami, kształtuje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dolność autorefleksji i wspiera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motywację do działania i pozytywnego myślenia o sobie. W ś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rodowisku edukacyjnym potrzebni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są specjaliści potrafiący przygotować proces biblioterape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utyczny, zastosować odpowiednie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techniki bioterapeutyczne, dokonać diagnozy problemu i wypracować sposoby jego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rozwiązania,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a przede wszystkim, kształtować kompetencje odbiorc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y, które pozwolą na samorozwój,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uaktywnią osobisty potencjał i dadzą narzędzia do samodzielnego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radzenia sobie z trudnościami.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Wprowadzenie kwalifikacji „Wykorzystanie biblioterapii podczas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arsztatów ogólnorozwojowych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dla dzieci i młodzieży” przyczyni się do podniesienia jakości prowadzenia warsztatów mających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celu poprawę i utrzymanie prawidłowej kondycji psychicznej dzieci i młodzieży, ich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integralnego rozwoju psychicznego, emocjonalnego i społecznego. Biblioterapia ponadto może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mieć duży udział w wyrównywaniu szans rozwoju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 zakresie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miejętności osób z różnorodnymi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trudnościami w uczeniu się, pochodzących z rodzin o niskim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statusie społeczno-ekonomicznym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narażonych na wykluczenie społeczne i zawodowe. Popr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zez zmianę postrzegania siebie,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budowanie poczucia własnej wartości i wewnętrznych zasobó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uczestnika warsztatów, będzie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służyć kształtowaniu dojrzałej i odpornej osobowości. W efekcie pop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rawi się jakość życia nie tylko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jednostki, ale także nie pozostanie to bez wpływu na jej otocz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enie. Biblioterapia może służyć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pomocą w poradnictwie zawodowym. Diagnozowanie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zasobów i potencjału jednostki,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projektowanie własnych ścieżek kariery z uwzględnieniem konte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kstów społecznych, rodzinnych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osobistych dokonywać się może poprzez metaforyczną analizę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tekstu literackiego. Opracowany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 biblioterapeutyczny może wspomóc rozwó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istniejących metod i narzędzi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wykorzystywanych w doradztwie zawodowym, z uwzgl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ędnieniem zróżnicowania potrzeb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 osób uczących się. Działania biblioterap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eutyczne mają służyć wspieraniu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wychowawczej i społecznej funkcji szkoły oraz wspiera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niu wychowawczej, edukacyjnej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więziotwórczej funkcji rodziny. Są także formą promowania czytelnictwa wśród dzieci i młodzież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y.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umiejętności czytelniczych i korzystanie z mediów służ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uczeniu się przez całe życie,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są jednymi z najważniejszych kompetencji kluczowych 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kie mogą zdobyć dzieci. Wszelka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działalność związana z rozpowszechnianiem czytelnictwa wśród dzieci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młodzieży jest zasadna,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co uwyraźniają dane zawarte w Zaleceniach Rady Unii Europe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jskiej z 22 maja 2018 w sprawie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kluczowych w procesie uczenia się przez całe życie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: W 2015 r. co piąty uczeń miał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poważne trudności w osiągnięciu wystarczającego poziomu umie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jętności w zakresie czytania ze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zrozumieniem. [10] Biblioterapia służy gromadzeniu doświadcz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eń czytelniczych, dzięki którym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budowane są zasoby psychiczne i umiejętności interpersonalne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ciągłym procesie uczenia się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przez całe życie. Proponowana kwalifikacja będzie przydatna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dla poszerzenia indywidualnych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i umiejętności pracownika branży edukacyjnej, umocnienia jego pozycji na rynku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pracy. Prowadzone zajęcia z biblioterapii stwarzają możliwość lep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szego poznania osób w grupie, z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którą się pracuje w ramach innego typu zajęć (np. dany prz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edmiot w szkole), ze względu na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specyfikę zajęć biblioterapeutycznych. Zdobyte umiejętności 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ogą więc również przyczynić się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podniesienia jakości zajęć prowadzonych równolegle przez danego nauczyciela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Posiadanie tej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dodatkowo zmotywuje osobę, która ją zdobyła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wspierania swojego dobrostanu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fizycznego i emocjonalnego, utrzymania zdrowia fizycznego 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sychicznego oraz kształtuje jej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zdolność do prowadzenia prozdrowotnego i zorientowanego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przyszłość trybu życia,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odczuwania empatii i zarządzania konfliktami we włączający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 i wspierającym kontekście. (Z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Zaleceń Rady Unii Europejskiej z 22 maja 2018 roku doty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czących kompetencji osobistych,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społecznych i w zakresie umiejętności uczenia się). [11] Włączen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kwalifikacji do ZSK wspierać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będzie upowszechnianiu informacji o znaczeniu biblioterapii w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racy z dziećmi i młodzieżą. Dla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wielu osób pracujących z dziećmi i młodzieżą może być inspira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cją do rozwoju zawodowego – dla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niektórych zachętą do potwierdzenia swoich umiejętności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udokumentowania ich odrębnym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certyfikatem, dla innych okazją do zdobycia nowej wiedzy i 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 umiejętności przydatnych w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codziennej pracy. Bibliografia [1]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Cyrklaff</w:t>
            </w:r>
            <w:proofErr w:type="spellEnd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-Gorczyca M. Biblioterapia jako 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orma pracy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profilaktyczno-wychowawczej [w:]Zarządzanie biblioteką, nr 1/2014 , s. 135.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https://repozytorium.umk.pl/bitstream/handle/item/5481/Bibl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ioterapia%20jako%20forma%20prac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y%20rozwojowoprofilaktycznej.%20Charakterystyka%20i%20zastosowanie%20metody%20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M.%2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0Cyrklaff.pdf?sequence=1 [2] Borecka I. Biblioterapia formą terapii pedagogicznej, Wałbrzych: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Wydawnictwo Uczelniane PWSZ im. Angelusa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Silesiusa</w:t>
            </w:r>
            <w:proofErr w:type="spellEnd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Wałbrzychu, 2008, s. 158. [3]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https://podstawaprogramowa.pl/Przedszkole, [4]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https://podstawaprogramowa.pl/Szkola-podstawowa-I-III [5]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https://podstawaprogramowa.pl/Szkola-podstawowa-IV-VIII [6]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ozporządzenie Ministra Edukacji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Narodowej z 9 sierpnia 2017 r. w sprawie zasad organizacji i udzielania pom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ocy psychologicznopedagogicznej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publicznych przedszkolach, szkołach i placówkach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https://prawo.vulcan.edu.pl/przegdok.asp?qdatprz=akt&amp;qplikid=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4384 [7] Zintegrowana Strategia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2030. (część szczegółowa) – dokument przyjęty przez Radę Ministrów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https://www.gov.pl/web/edukacja-i-nauka/zintegrowana-strategi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a-umiejetnosci-2030-czesc-szcze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golowa--dokument-przyjety-przez-rade-ministrow [8]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https://efs.mein.gov.pl/zintegrowana-strategia-umiejetnosci-2030-czesc-ogolna/ [9]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https://portalstatystyczny.pl/tragiczne-statystyki-coraz-wiecej-dzieci-odbiera-sobie-z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ycie-w-polsce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/ [10] https://eur-lex.europa.eu/legal-content/PL/TXT/PDF/?uri=CELEX:32018H0604(01)&amp;from=en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[11] Dziennik Urzędowy Unii Europejskiej, 2018/C 189/01</w:t>
            </w:r>
          </w:p>
          <w:p w:rsidR="006152C9" w:rsidRPr="00102F7E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https://eur-lex.europa.eu/legal-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content/PL/TXT/PDF/?uri=CELEX:32018H0604(01)&amp;from=en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ZRK nie ma kwalifikacji dotyczącej biblioterapii. Kwalifikacja „Wykorzystanie biblioterapii</w:t>
            </w:r>
          </w:p>
          <w:p w:rsidR="00102F7E" w:rsidRPr="001F1CA8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podczas warsztatów ogólnorozwojowych dla dzieci i młodzieży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” nie zawiera żadnych wspólnych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zestawów efektów uczenia się z innymi kwalifikacjami funkcjonującymi w ZSK. Znajd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ują się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jednak kwalifikacje o zbliżonym charakterze. Część efekt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ów uczenia się dla kwalifikacji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„Wykorzystanie biblioterapii podczas warsztatów ogólnorozw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ojowych dla dzieci i młodzieży”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zbliżona do elementów programu studiów licencjackich i magistersk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ich na kierunkach: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Filologia polska (studia I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i</w:t>
            </w:r>
            <w:proofErr w:type="spellEnd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II stopnia), Informacja naukowa i bi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bliotekoznawstwo (studia I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stopnia) Arteterapia (studia I stopnia wpisane do ZRK)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na studiach podyplomowych: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Arteterapia, Informacja naukowa i bibliotekoznawstwo – biblio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terapia na tych kierunkach jest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zazwyczaj jednym z przedmiotów nauczania. Niniejsza kwalif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ikacja wykazuje podobieństwa do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następujących kwalifikacji rynkowych: „Prowadzenie pracy wychowawczej z 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rupą”,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„Prowadzenie terapii środowiskowej dzieci i młodzi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eży”, „Rozpoznawanie potencjału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rozwojowego ucznia i prowadzenie rozmów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uczniem z wykorzystaniem metod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coachingowych</w:t>
            </w:r>
            <w:proofErr w:type="spellEnd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” oraz „Praca z dzieckiem metodą Marii Montess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ori”. Powiązanie z kwalifikacją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„Prowadzenie pracy wychowawczej z grupą” wyraża się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oprzez stosowanie różnych metod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aktywizujących podczas zajęć z grupą dzieci lub młodzieży, identyfikowanie potrzeb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uczestników grupy, konstruowanie programu zajęć dotyczącego pracy wychowawczej, wartości,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postaw,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zachowań</w:t>
            </w:r>
            <w:proofErr w:type="spellEnd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relacji. Przedmiotowa kwalifikacja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wiera częściowo podobne zestawy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efektów uczenia się do zestawów efektów uczenia się 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kwalifikacji „Prowadzenie pracy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wychowawczej z grupą”. Istotna różnica polega na tworzeniu procesu biblioterapeutycz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nego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opartego na tekście literackim. Proces ten jest związany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oddziaływaniem literatury na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uczestników zajęć, z kolei osoba prowadząca jest towarz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yszem i przewodnikiem na drodze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spotkania z utworem literackim, w związku z czym działanie wychowawcze odbyw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się w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sposób pośredni, inaczej niż w przypadku pracy typowo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wychowawczej skoncentrowanej na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bezpośrednich działaniach o charakterze wychowawczym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W odróżnieniu od kwalifikacji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„Prowadzenie terapii środowiskowej dzieci i młodzieży”, kwalifikacja „Wykorzys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tanie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biblioterapii podczas warsztatów ogólnorozwojowych dla dzieci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młodzieży” nie koncentruje się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 ściśle na współpracy ze specjalistami, rodz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iną i środowiskiem wychowawczym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podopiecznego. Osoby ją posiadające nie muszą mieć tak rozległej wiedzy na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emat zaburzeń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psychicznych, kryteriów ich rozpoznawania itp., natomiast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główną cechą odróżniającą ją od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ww. kwalifikacji jest regulacja emocji uczestnika 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poprzez ukierunkowane działania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środowiskowe, lecz poprzez indywidualny odbiór odpowiednio dobrane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literatury lub poprzez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twórczość własną uczestników zajęć. Niniejsza kwalif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ikacja jest również powiązana z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kwalifikacją rynkową „Rozpoznawanie potencjału rozwojoweg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ucznia i prowadzenie rozmów z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uczniem z wykorzystaniem metod </w:t>
            </w:r>
            <w:proofErr w:type="spellStart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coachingowych</w:t>
            </w:r>
            <w:proofErr w:type="spellEnd"/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” ze względu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ukierunkowanie na szeroko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pojęty rozwój młodego człowieka, identyfikację barier rozwo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jowych. Kwalifikacja ta zawiera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podobne pojedyncze umiejętności, wiedzę i kompetencje spo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łeczne. Różnicą w przedmiotowej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jest jednak uczestnictwo nie tylko w procesie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ndywidualnym, ale i (zazwyczaj)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grupowym, gdyż przedmiotowa kwalifikacja dotyczy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głównie pracy z grupą, również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wprowadzając elementy pracy własnej czy pracy w parach, a ponadto istotną rolę odgry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wają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elementy pracy twórczej uczestnika zajęć, nieświadome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procesy sprzyjające pozytywnej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zmianie zachodzącej w jego osobowości. Z kolei podobi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eństwo do kwalifikacji „Praca z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dzieckiem metodą Marii Montessori” przejawia się w przestrzeni pracy dedykowanej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dzieciom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młodzieży, położeniem akcentu na pracę własną uczestnika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ajęć z jednoczesnym wspieraniem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działań uczestników i dbałością o ich rozwój. Wskaza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kwalifikacja zawiera podobne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pojedyncze umiejętności, wiedzę i kompetencje społeczne. Istotną różnic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w przedmiotowej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w stosunku do powyższych jest fakt, że w 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łównej mierze opiera się ona na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wykorzystaniu walorów terapeutycznych utworów litera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ckich. Utwór literacki lub inny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alternatywny materiał czytelniczy stanowi centrum i nieodzowny elem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ent każdych zajęć; praca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 grupą (lub indywidualna) odbywa się zawsze w nawiązaniu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danego tekstu. Kwalifikacja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uzupełnia ofertę kwalifikacji rynkowych kierowanych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osób pracujących z dziećmi i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młodzieżą.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z daną kwalifikacją może realizować swoje zadania w wie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lu publicznych i niepublicznych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placówkach oświatowych, jak np. przedszkola, szkoły podstawow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e, placówki wsparcia dziennego,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świetlice środowiskowe i centra aktywności lokalnej, organi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zacje pozarządowe zajmujące się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działalnością wychowawczą, instytucje kultury, biblioteki. Osob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a, która uzyska kwalifikację, w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perspektywie dalszego rozwoju może dzielić się swoją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wiedzą i doświadczeniem poprzez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prowadzenie badań naukowych w obszarze biblioterapii, tw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orzenie programów i scenariuszy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 publikowanych w prasie branżowej.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1. Metody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weryfikacji efektów uczenia się stosuje się następujące metody: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- analiza dowodów i deklaracji (portfolio) uzupełniona wywiadem swobodnym (rozmowa z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komisją) lub - weryfikacja efektów uczenia się z zestawu nr 02: Przygotowuje charakterystykę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grupy - pkt 1-3, Opracowuje program biblioterapeutyczny – pkt 1-5, Opracowuje scenariusze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warsztatów wchodzących w skład programu bibli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oterapeutycznego dostosowane do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charakterystyki grupy - pkt 1-5; - wywiad ustrukturyzowany lub test teoretyczny - weryfikacja</w:t>
            </w:r>
          </w:p>
          <w:p w:rsidR="00740510" w:rsidRPr="00740510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efektów uczenia się z zestawu nr 01: Omawia zagadnienia teoretyc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zne z obszaru biblioterapii pkt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- 1-5 oraz Aktualizuje wiedzę dotyczącą literatury dla dzieci i młodzieży - pkt 1-2; - wywiad</w:t>
            </w:r>
          </w:p>
          <w:p w:rsidR="00B012A9" w:rsidRDefault="00740510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swobodny lub (ewentualnie również prezentacja - weryfikacja e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fektów uczenia się z zestawu nr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03. Organizuje warsztaty biblioterapeutyczne – pkt 1-2, . Prowadzi w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arsztaty </w:t>
            </w:r>
            <w:proofErr w:type="spellStart"/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biblioterapeutycznepkt</w:t>
            </w:r>
            <w:proofErr w:type="spellEnd"/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1-7 oraz z zestawu nr 04. Dokonuje ewaluacji programu biblioter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apeutycznego- pkt 1-3,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Uwzględnia wyniki ewaluacji w planowaniu dalszej pracy- pkt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1-2. W szczególnych sytuacjach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(np. sytuacja epidemiczna ograniczająca możliwość kont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aktów bezpośrednich kandydata z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komisją) możliwe jest zastosowanie innych metod walidacji 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lub jej form (np.: zdalna) przy </w:t>
            </w: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zachowaniu wszelkich zasad zapewniania jakości. 1.2 Zasoby kadrowe </w:t>
            </w:r>
          </w:p>
          <w:p w:rsidR="00B012A9" w:rsidRDefault="00740510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Weryfikację efektów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przeprowadza komisja składająca się z co najmniej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3 osób. Przewodniczący komisji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powinien spełniać następujące warunki: ● udokumentowane do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świadczenie w prowadzeniu zajęć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czytelniczych z elementami biblioterapii lub zajęć dydaktycznych z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zakresu biblioterapii (łącznie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min. 150 godzin w ciągu ostatnich 5 lat); ● autorstwo przynajmn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iej trzech publikacji z zakresu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biblioterapii, ● ukończony kurs z biblioterapii rekomend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owany przez Polskie Towarzystwo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Biblioterapeutyczne. Pozostali członkowie komisji są zobowiąz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 do spełnienia następujących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warunków: ● doświadczenie w prowadzeniu zajęć czytelniczych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 elementami biblioterapii lub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 dydaktycznych z zakresu biblioterapii (min. 50 godzin w ciąg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ostatnich 3 lat); ● ukończony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kurs z biblioterapii rekomendowany przez Polskie Towarzystwo Biblioterapeutyczne. </w:t>
            </w:r>
          </w:p>
          <w:p w:rsid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1.3 Sposób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organizacji walidacji oraz warunki organizacyjne i materialne </w:t>
            </w:r>
          </w:p>
          <w:p w:rsid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yfikacja efektów uczenia się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składa się z dwóch etapów. W I etapie komisja spraw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dza przesłany wcześniej program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biblioterapeutyczny wraz z opracowaniem metod, narzędzi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wskaźników ewaluacji. Pozytywny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wynik I etapu weryfikacji efektów uczenia się (oparty na analizie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dostarczonych materiałów) jest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warunkiem przystąpienia do etapu II. Instytucja certyfikująca zob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owiązana jest do zapewnienia: -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stanowiska komputerowego dla kandydata ubiegającego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o kwalifikację z dostępem do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Internetu i wyposażonego w pakiet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programów biurowych; - miejsca do przeprowadzenia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prezentacji multimedialnej (rzutnika z ekranem – w razie wyboru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tej metody weryfikacji efektów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uczenia się). </w:t>
            </w:r>
          </w:p>
          <w:p w:rsid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 Etap identyfikowania i dokumentowania efektów uczenia się </w:t>
            </w:r>
          </w:p>
          <w:p w:rsidR="00102F7E" w:rsidRPr="00102F7E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 określa się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wymagań dla tych etapów.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502897" w:rsidRPr="00102F7E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„Wykorzystanie 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iblioterapii podczas warsztatów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ogólnorozwojowych dla dzieci i młodzieży” jest gotow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do samodzielnego planowania i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prowadzenia warsztatów biblioterapeutycznych dla dzieci i młodzieży. Potrafi rozpoznaw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ać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potrzeby danej grupy i stale aktualizuje swoją wiedzę z zakresu lit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eratury dla dzieci i młodzieży.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Potrafi opracować i poprowadzić własny program biblioterape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utyczny. Samodzielnie realizuje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zaplanowane cele biblioterapeutyczne za pomocą metod, tech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nik i narzędzi dostosowanych do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 i specyfiki grupy. Przeprowadza standardow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ewaluację realizacji programu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biblioterapeutycznego. Poddaje refleksji i ewentualnie koryguje sposoby realizacji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rogramu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biblioterapeutycznej. W swojej pracy wykazuje się wrażliw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ością, szacunkiem, tolerancją i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empatią wobec uczestników. Posiada umiejętność pracy z gru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pą, kierowania rozmową, cechuje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umiejętnością uważnego słuchania i dobrą organizacją zajęć.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B012A9" w:rsidRDefault="00C54ABB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Posługiwanie się wiedzą z zakresu biblioterapii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CD594C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B012A9" w:rsidRPr="00B012A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Omawia zagadnienia teoretyczne z obszaru biblioterapii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012A9" w:rsidRP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(1) Wymienia i charakteryzuje rodzaje biblioterapii. (2)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Wymienia i charakteryzuje etapy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procesu biblioterapeutycznego. (3) Omawia rodzaje materiałów czytelniczych ze względu na</w:t>
            </w:r>
          </w:p>
          <w:p w:rsidR="00CD594C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ich oddziaływanie na czytelnika. (4) Omawia </w:t>
            </w:r>
            <w:proofErr w:type="spellStart"/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edukacyjno</w:t>
            </w:r>
            <w:proofErr w:type="spellEnd"/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- 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chowawczą funkcję literatury na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wybranych przykładach. (5) Charakteryzuje predy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spozycje i postawy niezbędne do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prowadzenia warsztatów.</w:t>
            </w:r>
          </w:p>
          <w:p w:rsid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711E5B" w:rsidRDefault="00CD594C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B012A9" w:rsidRPr="00B012A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Aktualizuje wiedzę dotyczącą literatury dla dzieci i młodzieży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B012A9" w:rsidRP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(1) Podaje przykłady nowości wydawniczych skierowa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 do dzieci i młodzieży oraz </w:t>
            </w: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uzasadnia możliwość ich wykorzystania na warsztatach biblioterapeutycznych. (2) Wymienia</w:t>
            </w:r>
          </w:p>
          <w:p w:rsidR="00711E5B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źródła informacji o nowościach wydawniczych. </w:t>
            </w:r>
          </w:p>
          <w:p w:rsidR="00711E5B" w:rsidRPr="00920287" w:rsidRDefault="00711E5B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711E5B" w:rsidRDefault="00832F43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B012A9"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Planowanie cyklu warsztatów biblioterapeutycznych dla grupy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6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45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01.</w:t>
            </w:r>
            <w:r w:rsidR="00CD594C"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012A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Przygotowuje charakterystykę grupy 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B012A9" w:rsidRPr="00B012A9" w:rsidRDefault="00B012A9" w:rsidP="00B012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(1) Omawia typowe problemy danej grupy wiekowej związane z rozwojem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psychofizycznym i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emocjonalnym. (2) Omawia sposoby zbierania informacji, które służą identyfikacji potrzeb</w:t>
            </w:r>
          </w:p>
          <w:p w:rsidR="00CD594C" w:rsidRDefault="00B012A9" w:rsidP="00B012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rozwojowych występujących w grupie. (3) Na podstawie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zebranych informacji formułuje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 xml:space="preserve">charakterystykę grupy. </w:t>
            </w:r>
          </w:p>
          <w:p w:rsidR="00B012A9" w:rsidRDefault="00B012A9" w:rsidP="00B012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B012A9">
              <w:rPr>
                <w:rFonts w:ascii="Arial" w:hAnsi="Arial" w:cs="Arial"/>
                <w:b/>
                <w:sz w:val="18"/>
                <w:szCs w:val="18"/>
                <w:lang w:val="pl-PL"/>
              </w:rPr>
              <w:t>Opracowuje program biblioterapeutyczny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B012A9" w:rsidRP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(1) Omawia strukturę programu biblioterapeutycz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nego. (2) Określa cele programu </w:t>
            </w: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biblioterapeutycznego. (3) Określa tematykę poszczególnych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warsztatów. (4) Konstruuje cele </w:t>
            </w: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warsztatów uwzględniając potrzeby grupy. (5) Ustala harmonogram warsztatów (liczba</w:t>
            </w:r>
          </w:p>
          <w:p w:rsidR="00E65FFB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spotkań, częstotliwość, czas trwania). </w:t>
            </w:r>
          </w:p>
          <w:p w:rsidR="00B012A9" w:rsidRDefault="00B012A9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65FFB" w:rsidRPr="00E65FFB" w:rsidRDefault="00B012A9" w:rsidP="00B012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03.</w:t>
            </w:r>
            <w:r w:rsidR="00E65FFB"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012A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Opracowuje scenariusze warsztat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ów wchodzących w skład programu </w:t>
            </w:r>
            <w:r w:rsidRPr="00B012A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biblioterapeutycznego dostosowane do charakterystyki grupy</w:t>
            </w: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B012A9" w:rsidRP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(1) Omawia budowę scenariusza warsztatu biblioterapeut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ycznego (2) Dobiera literaturę, </w:t>
            </w: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którą wykorzystuje podczas warsztatów i uzasadnia wybór. (3) Dobiera metody i formy pracy</w:t>
            </w:r>
          </w:p>
          <w:p w:rsidR="00E65FFB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wykorzystując elementy pedagogiki zabawy oraz tec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hniki arteterapii (m.in. drama, </w:t>
            </w: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muzykoterapia, </w:t>
            </w:r>
            <w:proofErr w:type="spellStart"/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plastykoterapia</w:t>
            </w:r>
            <w:proofErr w:type="spellEnd"/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>) i uzasadnia ich wybór. (4)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Wymienia narzędzia i materiały </w:t>
            </w: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pomocnicze niezbędne do realizacji scenariuszy. </w:t>
            </w:r>
          </w:p>
          <w:p w:rsidR="00E65FFB" w:rsidRPr="00711E5B" w:rsidRDefault="00E65FFB" w:rsidP="00B012A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Realizacja programu biblioterapeutycznego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65FFB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B012A9" w:rsidRPr="00B012A9">
              <w:rPr>
                <w:rFonts w:ascii="Arial" w:hAnsi="Arial" w:cs="Arial"/>
                <w:b/>
                <w:sz w:val="18"/>
                <w:szCs w:val="18"/>
                <w:lang w:val="pl-PL"/>
              </w:rPr>
              <w:t>Organizuje warsztaty biblioterapeutyczne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B012A9" w:rsidRPr="00B012A9" w:rsidRDefault="00B012A9" w:rsidP="00B012A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(1) Opisuje warunki w zakresie organizacji przestrzeni do przeprowadzenia warsztatów. (2)</w:t>
            </w:r>
          </w:p>
          <w:p w:rsidR="00E65FFB" w:rsidRDefault="00B012A9" w:rsidP="00B012A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 xml:space="preserve">Przygotowuje narzędzia i materiały potrzebne do przeprowadzenia warsztatów. </w:t>
            </w:r>
          </w:p>
          <w:p w:rsidR="00B012A9" w:rsidRDefault="00B012A9" w:rsidP="00B012A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B012A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Prowadzi warsztaty biblioterapeutyczne 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53355A" w:rsidRPr="00E65FFB" w:rsidRDefault="00B012A9" w:rsidP="00B012A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(1) Wyjaśnia uczestnikom cel warsztatów. (2) Wspóln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 z uczestnikami ustala zasady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obowiązujące grupę podczas warsztatów. (3) Stosuje meto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dy dobrane do wytyczonych celów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programu oraz adekwatne do charakterystyki grupy. (4) Sto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suje narzędzia warsztatowe. (5)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Opisuje i wyjaśnia rozpoznane zachowania i postawy uczes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tników zajęć i oraz przedstawia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możliwe sposoby reakcji na nie. (6) Stosuje adekwatne rozwiązania w sytuacji za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grożenia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bezpieczeństwa lub komfortu uczestników zajęć. (7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) Formułuje komunikaty w sposób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empatyczny, nakierowany na szanowanie emocji i uczuć innych osób.</w:t>
            </w: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767B3" w:rsidRPr="00102F7E" w:rsidTr="00916B27">
        <w:trPr>
          <w:trHeight w:val="1077"/>
        </w:trPr>
        <w:tc>
          <w:tcPr>
            <w:tcW w:w="533" w:type="dxa"/>
          </w:tcPr>
          <w:p w:rsidR="006767B3" w:rsidRPr="00102F7E" w:rsidRDefault="006767B3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6767B3" w:rsidRPr="00832F43" w:rsidRDefault="006767B3" w:rsidP="006767B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</w:t>
            </w:r>
            <w:r w:rsid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tów uczenia się nr 4</w:t>
            </w:r>
          </w:p>
          <w:p w:rsidR="00724767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B012A9" w:rsidRP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Ewaluacja cyklu warsztatów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B012A9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6767B3" w:rsidRPr="00711E5B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6767B3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65FFB" w:rsidRDefault="00B012A9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01.</w:t>
            </w:r>
            <w:r w:rsidR="00E65FFB" w:rsidRPr="00E65FF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B012A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Dokonuje ewaluacji programu biblioterapeutycznego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E65FFB" w:rsidRPr="00B012A9" w:rsidRDefault="00B012A9" w:rsidP="00B012A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(1) Dobiera metody, narzędzia i wskaźniki ewal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uacji weryfikujące cel programu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biblioterapeutycznego. (2) Omawia sposób zaangaż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owania uczestników warsztatów w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 xml:space="preserve">podsumowanie i ocenę podejmowanych działań. (3)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Przedstawia wnioski z ewaluacji </w:t>
            </w: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programu/cyklu warsztatów.</w:t>
            </w:r>
            <w:r w:rsidRPr="00B012A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  <w:p w:rsidR="00B012A9" w:rsidRDefault="00B012A9" w:rsidP="00E65F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B012A9" w:rsidRDefault="00E65FFB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="00554DC2"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</w:t>
            </w:r>
            <w:r w:rsidR="00B012A9" w:rsidRPr="00B012A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Uwzględnia wyniki ewaluacji w planowaniu dalszej pracy 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B012A9" w:rsidRPr="00B012A9" w:rsidRDefault="00B012A9" w:rsidP="00B012A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(1) Na podstawie wniosków z ewaluacji proponuje modyfikację scenariuszy i zastosowanych</w:t>
            </w:r>
          </w:p>
          <w:p w:rsidR="00E65FFB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>narzędzi. (2) Planuje wykorzystanie zmodyfikowanego programu biblioterapeutycznego.</w:t>
            </w:r>
            <w:r w:rsidRPr="00B012A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:rsidR="00B012A9" w:rsidRPr="00BE432D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6767B3" w:rsidRPr="00102F7E" w:rsidRDefault="006767B3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56BD1" w:rsidRPr="00D56BD1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FE02F1" w:rsidRPr="00FE02F1">
              <w:rPr>
                <w:rFonts w:ascii="Arial" w:hAnsi="Arial" w:cs="Arial"/>
                <w:bCs/>
                <w:sz w:val="18"/>
                <w:szCs w:val="20"/>
                <w:lang w:val="pl-PL"/>
              </w:rPr>
              <w:t>14 - Pedagogika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02F7E" w:rsidRPr="00102F7E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67168"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A9" w:rsidRDefault="00B012A9" w:rsidP="00EA005D">
      <w:pPr>
        <w:spacing w:after="0" w:line="240" w:lineRule="auto"/>
      </w:pPr>
      <w:r>
        <w:separator/>
      </w:r>
    </w:p>
  </w:endnote>
  <w:endnote w:type="continuationSeparator" w:id="0">
    <w:p w:rsidR="00B012A9" w:rsidRDefault="00B012A9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Content>
      <w:p w:rsidR="00B012A9" w:rsidRDefault="00B01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27">
          <w:rPr>
            <w:noProof/>
          </w:rPr>
          <w:t>11</w:t>
        </w:r>
        <w:r>
          <w:fldChar w:fldCharType="end"/>
        </w:r>
      </w:p>
    </w:sdtContent>
  </w:sdt>
  <w:p w:rsidR="00B012A9" w:rsidRDefault="00B01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A9" w:rsidRDefault="00B012A9" w:rsidP="00EA005D">
      <w:pPr>
        <w:spacing w:after="0" w:line="240" w:lineRule="auto"/>
      </w:pPr>
      <w:r>
        <w:separator/>
      </w:r>
    </w:p>
  </w:footnote>
  <w:footnote w:type="continuationSeparator" w:id="0">
    <w:p w:rsidR="00B012A9" w:rsidRDefault="00B012A9" w:rsidP="00EA005D">
      <w:pPr>
        <w:spacing w:after="0" w:line="240" w:lineRule="auto"/>
      </w:pPr>
      <w:r>
        <w:continuationSeparator/>
      </w:r>
    </w:p>
  </w:footnote>
  <w:footnote w:id="1">
    <w:p w:rsidR="00B012A9" w:rsidRDefault="00B012A9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768"/>
    <w:rsid w:val="00367168"/>
    <w:rsid w:val="003E378E"/>
    <w:rsid w:val="00420C92"/>
    <w:rsid w:val="00466946"/>
    <w:rsid w:val="004A393D"/>
    <w:rsid w:val="00502897"/>
    <w:rsid w:val="0053355A"/>
    <w:rsid w:val="00554DC2"/>
    <w:rsid w:val="005C662E"/>
    <w:rsid w:val="006152C9"/>
    <w:rsid w:val="00640E60"/>
    <w:rsid w:val="00657865"/>
    <w:rsid w:val="006730A6"/>
    <w:rsid w:val="006767B3"/>
    <w:rsid w:val="00711E5B"/>
    <w:rsid w:val="00716272"/>
    <w:rsid w:val="00724767"/>
    <w:rsid w:val="0073215D"/>
    <w:rsid w:val="00740510"/>
    <w:rsid w:val="007B3781"/>
    <w:rsid w:val="007E4966"/>
    <w:rsid w:val="00810EDA"/>
    <w:rsid w:val="00832F43"/>
    <w:rsid w:val="00860BC1"/>
    <w:rsid w:val="00877A10"/>
    <w:rsid w:val="00916B27"/>
    <w:rsid w:val="00920287"/>
    <w:rsid w:val="0098511A"/>
    <w:rsid w:val="009F01A3"/>
    <w:rsid w:val="00A2376C"/>
    <w:rsid w:val="00A972C8"/>
    <w:rsid w:val="00B012A9"/>
    <w:rsid w:val="00B7723F"/>
    <w:rsid w:val="00BD3EC7"/>
    <w:rsid w:val="00BE432D"/>
    <w:rsid w:val="00C54ABB"/>
    <w:rsid w:val="00CD594C"/>
    <w:rsid w:val="00CF4BBB"/>
    <w:rsid w:val="00D444D1"/>
    <w:rsid w:val="00D56BD1"/>
    <w:rsid w:val="00D977E2"/>
    <w:rsid w:val="00E44B5B"/>
    <w:rsid w:val="00E61BAF"/>
    <w:rsid w:val="00E65FFB"/>
    <w:rsid w:val="00E66F35"/>
    <w:rsid w:val="00EA005D"/>
    <w:rsid w:val="00EC7627"/>
    <w:rsid w:val="00F20F14"/>
    <w:rsid w:val="00F56693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DD4991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4324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19</cp:revision>
  <cp:lastPrinted>2018-08-31T10:17:00Z</cp:lastPrinted>
  <dcterms:created xsi:type="dcterms:W3CDTF">2022-04-21T08:21:00Z</dcterms:created>
  <dcterms:modified xsi:type="dcterms:W3CDTF">2023-02-21T09:34:00Z</dcterms:modified>
</cp:coreProperties>
</file>