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68" w:rsidRPr="00374767" w:rsidRDefault="00374767" w:rsidP="00374767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0"/>
        </w:rPr>
        <w:t xml:space="preserve">                 </w:t>
      </w:r>
      <w:r w:rsidRPr="00374767">
        <w:rPr>
          <w:rFonts w:ascii="Arial" w:hAnsi="Arial" w:cs="Arial"/>
          <w:b/>
          <w:sz w:val="28"/>
          <w:szCs w:val="28"/>
        </w:rPr>
        <w:t>Ministerstwo Zdrowia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18"/>
        <w:gridCol w:w="10689"/>
      </w:tblGrid>
      <w:tr w:rsidR="00EF075D" w:rsidRPr="00C66BAE" w:rsidTr="00F17C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933B37" w:rsidRDefault="00933B37" w:rsidP="00933B37">
            <w:pPr>
              <w:ind w:left="460" w:right="49"/>
            </w:pPr>
            <w:r>
              <w:t>Organizowanie gospodarki odpadami medycznymi w miejscach ich wytwarzania.</w:t>
            </w:r>
          </w:p>
          <w:p w:rsidR="00E643BA" w:rsidRPr="00C21CEE" w:rsidRDefault="00E643BA" w:rsidP="00F17CE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E6392" w:rsidRPr="00C66BAE" w:rsidTr="00F17C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1E6392" w:rsidRPr="006C3170" w:rsidRDefault="001E6392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1E6392" w:rsidRPr="001E6392" w:rsidRDefault="002C6A4B" w:rsidP="00F17CE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</w:rPr>
              <w:t>Instytut Ochrony Środowiska - Państwowy Instytut Badawczy</w:t>
            </w:r>
          </w:p>
        </w:tc>
      </w:tr>
      <w:tr w:rsidR="00375441" w:rsidRPr="00C66BAE" w:rsidTr="00375441">
        <w:trPr>
          <w:trHeight w:val="342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75441" w:rsidRPr="006C3170" w:rsidRDefault="00375441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  <w:p w:rsidR="00375441" w:rsidRPr="006C3170" w:rsidRDefault="00375441" w:rsidP="00A154B7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do kontaktów</w:t>
            </w:r>
          </w:p>
          <w:p w:rsidR="00375441" w:rsidRPr="006C3170" w:rsidRDefault="00375441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  <w:r>
              <w:rPr>
                <w:b/>
                <w:sz w:val="20"/>
                <w:szCs w:val="20"/>
              </w:rPr>
              <w:t xml:space="preserve"> kontaktowy </w:t>
            </w:r>
          </w:p>
        </w:tc>
        <w:tc>
          <w:tcPr>
            <w:tcW w:w="3339" w:type="pct"/>
            <w:shd w:val="clear" w:color="auto" w:fill="auto"/>
          </w:tcPr>
          <w:p w:rsidR="00375441" w:rsidRPr="00B64116" w:rsidRDefault="00375441" w:rsidP="00375441">
            <w:pPr>
              <w:spacing w:after="0"/>
              <w:rPr>
                <w:sz w:val="20"/>
                <w:szCs w:val="20"/>
              </w:rPr>
            </w:pPr>
          </w:p>
        </w:tc>
      </w:tr>
      <w:tr w:rsidR="00DF2E99" w:rsidRPr="00C66BAE" w:rsidTr="008A5888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67A" w:rsidRDefault="00E4567A" w:rsidP="008A5888">
            <w:pPr>
              <w:spacing w:before="240" w:after="240"/>
              <w:rPr>
                <w:szCs w:val="20"/>
              </w:rPr>
            </w:pPr>
          </w:p>
          <w:p w:rsidR="00E4567A" w:rsidRDefault="00E4567A" w:rsidP="008A5888">
            <w:pPr>
              <w:spacing w:before="240" w:after="240"/>
              <w:rPr>
                <w:szCs w:val="20"/>
              </w:rPr>
            </w:pPr>
          </w:p>
        </w:tc>
      </w:tr>
    </w:tbl>
    <w:p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9"/>
        <w:gridCol w:w="7081"/>
        <w:gridCol w:w="8647"/>
      </w:tblGrid>
      <w:tr w:rsidR="00375441" w:rsidRPr="00650152" w:rsidTr="00375441">
        <w:trPr>
          <w:trHeight w:val="737"/>
        </w:trPr>
        <w:tc>
          <w:tcPr>
            <w:tcW w:w="87" w:type="pct"/>
            <w:shd w:val="clear" w:color="auto" w:fill="F2F2F2" w:themeFill="background1" w:themeFillShade="F2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12" w:type="pct"/>
            <w:shd w:val="clear" w:color="auto" w:fill="F2F2F2" w:themeFill="background1" w:themeFillShade="F2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2701" w:type="pct"/>
            <w:shd w:val="clear" w:color="auto" w:fill="F2F2F2" w:themeFill="background1" w:themeFillShade="F2"/>
            <w:vAlign w:val="center"/>
          </w:tcPr>
          <w:p w:rsidR="00375441" w:rsidRPr="00650152" w:rsidRDefault="00375441" w:rsidP="008A58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375441" w:rsidRPr="00650152" w:rsidTr="00375441">
        <w:trPr>
          <w:trHeight w:val="1084"/>
        </w:trPr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12" w:type="pct"/>
            <w:vAlign w:val="center"/>
          </w:tcPr>
          <w:p w:rsidR="00375441" w:rsidRPr="002812FE" w:rsidRDefault="00375441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Nazwa kwalifikacji </w:t>
            </w:r>
          </w:p>
          <w:p w:rsidR="00375441" w:rsidRDefault="00375441" w:rsidP="00933B37">
            <w:pPr>
              <w:ind w:right="49"/>
            </w:pPr>
            <w:r>
              <w:t>Organizowanie gospodarki odpadami medycznymi w miejscach ich wytwarzania.</w:t>
            </w:r>
          </w:p>
          <w:p w:rsidR="00375441" w:rsidRPr="00E42A6B" w:rsidRDefault="00375441" w:rsidP="00416268">
            <w:pPr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2701" w:type="pct"/>
            <w:vAlign w:val="center"/>
          </w:tcPr>
          <w:p w:rsidR="00375441" w:rsidRPr="00537BAB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75441" w:rsidRPr="00650152" w:rsidTr="00375441">
        <w:trPr>
          <w:trHeight w:val="1084"/>
        </w:trPr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pct"/>
            <w:vAlign w:val="center"/>
          </w:tcPr>
          <w:p w:rsidR="00375441" w:rsidRDefault="00375441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Osoba posiadająca kwalifikację “Organizowanie gospodarki odpadami medycznymi w miejscach ich wytwarzania” opracowuje procedury postępowania z odpadami medycznymi oraz procedury obiegu ewidencji odpadów medycznych. Samodzielnie organizuje dla innych pracowników szkolenia z zakresu prawidłowej gospodarki odpadami medycznymi w placówce. Do jej zadań należy również prowadzenie okresowych kontroli wewnętrznych oraz współpraca z organami kontroli zewnętrznej. Jest odpowiedzialna za właściwą i zgodną z przepisami organizację odbioru odpadów medycznych oraz współpracę z podmiotami zewnętrznymi w zakresie odbioru i </w:t>
            </w:r>
            <w:r w:rsidRPr="00B50ECD">
              <w:rPr>
                <w:rFonts w:asciiTheme="majorHAnsi" w:eastAsia="Arial Narrow" w:hAnsiTheme="majorHAnsi" w:cstheme="majorHAnsi"/>
              </w:rPr>
              <w:lastRenderedPageBreak/>
              <w:t xml:space="preserve">przetwarzania odpadów medycznych. </w:t>
            </w:r>
          </w:p>
          <w:p w:rsidR="00375441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>Osoba posiadająca kwalifikację “Organizowanie gospodarki odpadami medycznymi w miejscach ich wytwarzania” może znaleźć zatrudnienie na stanowisku specjalisty ds. gospodarki odpadami medycznymi lub gospodarki odpadami w podmiocie medycznym lub innych podmiotach zajmujących się gospodarką odpadami medycznymi.</w:t>
            </w:r>
          </w:p>
          <w:p w:rsidR="00375441" w:rsidRPr="00A154B7" w:rsidRDefault="00375441" w:rsidP="00933B3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B37">
              <w:rPr>
                <w:rFonts w:asciiTheme="majorHAnsi" w:eastAsia="Arial Narrow" w:hAnsiTheme="majorHAnsi" w:cstheme="majorHAnsi"/>
              </w:rPr>
              <w:t>KOSZT KWALIFIKACJI:</w:t>
            </w:r>
            <w:r>
              <w:rPr>
                <w:rFonts w:asciiTheme="majorHAnsi" w:eastAsia="Arial Narrow" w:hAnsiTheme="majorHAnsi" w:cstheme="majorHAnsi"/>
              </w:rPr>
              <w:t xml:space="preserve"> 1000zł</w:t>
            </w:r>
          </w:p>
        </w:tc>
        <w:tc>
          <w:tcPr>
            <w:tcW w:w="2701" w:type="pct"/>
          </w:tcPr>
          <w:p w:rsidR="00375441" w:rsidRPr="00B046D9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rPr>
          <w:trHeight w:val="1036"/>
        </w:trPr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pct"/>
            <w:vAlign w:val="center"/>
          </w:tcPr>
          <w:p w:rsidR="00375441" w:rsidRPr="002812FE" w:rsidRDefault="00375441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Kwalifikacja kierowana jest do wszystkich osób zajmujących się organizacją, zarządzaniem lub nadzorem postępowania z odpadami medycznymi, w tym m.in. personelu medycznego (lekarzy, lekarzy dentystów, pielęgniarek, rehabilitantów, ratowników medycznych, diagnostów laboratoryjnych), inspektorów BHP, pracowników działów technicznych lub administracji, osób odpowiedzialnych za zarządzanie placówką wytwarzającą odpady medyczne, zatrudnionych m.in. w: 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1.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podmiotach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leczniczych udzielających stacjonarnych i całodobowych świadczeń zdrowotnych szpitalnych lub innych niż szpitalnych (ZOL, ZPO, hospicjum); 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2.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podmiotach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leczniczych udzielających ambulatoryjnych świadczeń zdrowotnych (podstawowa opieka zdrowotna, ambulatoryjna opieka specjalistyczna); 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3.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gabinetach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indywidualnej lub grupowej praktyki zawodowej; 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4.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medycznych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laboratoriach diagnostycznych;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5.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firmach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ubezpieczeniowych;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6.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jednostkach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prowadzących badania naukowe w obszarze medycyny;</w:t>
            </w:r>
          </w:p>
          <w:p w:rsidR="00375441" w:rsidRPr="00650152" w:rsidRDefault="00375441" w:rsidP="00933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ECD">
              <w:rPr>
                <w:rFonts w:asciiTheme="majorHAnsi" w:eastAsia="Arial Narrow" w:hAnsiTheme="majorHAnsi" w:cstheme="majorHAnsi"/>
              </w:rPr>
              <w:lastRenderedPageBreak/>
              <w:t xml:space="preserve">7.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instytucjach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inspekcji sanitarnej i środowiskowej oraz Najwyższej Izbie Kontroli.</w:t>
            </w:r>
          </w:p>
        </w:tc>
        <w:tc>
          <w:tcPr>
            <w:tcW w:w="2701" w:type="pct"/>
            <w:vAlign w:val="center"/>
          </w:tcPr>
          <w:p w:rsidR="00375441" w:rsidRPr="008A5888" w:rsidRDefault="00375441" w:rsidP="008A5888">
            <w:pPr>
              <w:spacing w:after="120"/>
              <w:rPr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pct"/>
            <w:vAlign w:val="center"/>
          </w:tcPr>
          <w:p w:rsidR="00375441" w:rsidRPr="002812FE" w:rsidRDefault="00375441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:rsidR="00375441" w:rsidRPr="00650152" w:rsidRDefault="00375441" w:rsidP="008B5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Kwalifikacja pełna na poziomie </w:t>
            </w:r>
            <w:r>
              <w:rPr>
                <w:rFonts w:asciiTheme="majorHAnsi" w:eastAsia="Arial Narrow" w:hAnsiTheme="majorHAnsi" w:cstheme="majorHAnsi"/>
              </w:rPr>
              <w:t>5</w:t>
            </w:r>
            <w:r w:rsidRPr="00B50ECD">
              <w:rPr>
                <w:rFonts w:asciiTheme="majorHAnsi" w:eastAsia="Arial Narrow" w:hAnsiTheme="majorHAnsi" w:cstheme="majorHAnsi"/>
              </w:rPr>
              <w:t xml:space="preserve"> PRK</w:t>
            </w:r>
          </w:p>
        </w:tc>
        <w:tc>
          <w:tcPr>
            <w:tcW w:w="2701" w:type="pct"/>
            <w:vAlign w:val="center"/>
          </w:tcPr>
          <w:p w:rsidR="00375441" w:rsidRPr="00537BAB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2" w:type="pct"/>
            <w:vAlign w:val="center"/>
          </w:tcPr>
          <w:p w:rsidR="00375441" w:rsidRPr="00933B37" w:rsidRDefault="00375441" w:rsidP="00933B37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</w:tc>
        <w:tc>
          <w:tcPr>
            <w:tcW w:w="2701" w:type="pct"/>
            <w:vAlign w:val="center"/>
          </w:tcPr>
          <w:p w:rsidR="00375441" w:rsidRPr="0009289C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2" w:type="pct"/>
            <w:vAlign w:val="center"/>
          </w:tcPr>
          <w:p w:rsidR="00375441" w:rsidRDefault="00375441" w:rsidP="0019574B">
            <w:pPr>
              <w:spacing w:before="120" w:after="120"/>
              <w:jc w:val="both"/>
              <w:rPr>
                <w:rFonts w:eastAsia="Lato"/>
              </w:rPr>
            </w:pPr>
            <w:r w:rsidRPr="002812FE">
              <w:rPr>
                <w:rFonts w:eastAsia="Lato"/>
                <w:b/>
              </w:rPr>
              <w:t>Zapotrzebowanie na kwalifikację</w:t>
            </w:r>
            <w:r w:rsidRPr="009A314E">
              <w:rPr>
                <w:rFonts w:eastAsia="Lato"/>
              </w:rPr>
              <w:t xml:space="preserve"> 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Zgodnie z danymi Głównego Urzędu Statystycznego W Polsce funkcjonuje około 1000 szpitali i ponad 20 tys. Przychodni, w których w ciągu roku powstaje blisko 50 tys. ton odpadów medycznych. Ponad 90% z nich jest klasyfikowana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jako  odpady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potencjalnie zakaźne. Obserwujemy również stały wzrost ilości wytwarzanych w Polsce odpadów medycznych. Prawidłowa i bezpieczna z punktu widzenia życia i zdrowia ludzi oraz środowiska gospodarka odpadami medycznymi w placówkach medycznych wymaga szczegółowej wiedzy w zakresie znajomości obowiązujących uregulowań prawnych; w tym w zakresie postępowania z odpadami w miejscu wytworzenia, transportu wewnętrznego, tymczasowego magazynowania oraz przetwarzania. Obecnie w systemie prawnym funkcjonuje 7 różnych aktów prawnych odnoszących się wprost do problematyki gospodarki odpadami medycznymi i kilkanaście aktów prawnych powiązanych z tym zagadnieniem (dotyczących np. ewidencji odpadów).</w:t>
            </w:r>
          </w:p>
          <w:p w:rsidR="00375441" w:rsidRPr="00B50ECD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Przygotowany w 2014 r. przez Najwyższą Izbę Kontroli (NIK)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raport  “Postępowanie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z odpadami medycznymi”, negatywnie ocenił przebieg funkcjonowania procesu. Jednym z powodów są braki w kompetencjach osób zajmujących tym zagadnieniem w placówkach </w:t>
            </w:r>
            <w:r w:rsidRPr="00B50ECD">
              <w:rPr>
                <w:rFonts w:asciiTheme="majorHAnsi" w:eastAsia="Arial Narrow" w:hAnsiTheme="majorHAnsi" w:cstheme="majorHAnsi"/>
              </w:rPr>
              <w:lastRenderedPageBreak/>
              <w:t xml:space="preserve">służby zdrowia. Informacje te potwierdzono w pilotażowej kontroli NIK w województwie wielkopolskim przeprowadzonej w roku 2017, której wyniki również świadczą o nieprawidłowościach w zakresie zarządzania gospodarką odpadami medycznymi w miejscach wytwarzania. NIK wskazuje m.in., że szpitale nie wykonują wszystkich ustawowych obowiązków, w szczególności w zakresie dokumentowania odpadów, ponadto nie przestrzegają własnych przepisów, ani warunków określonych w umowach z usługodawcami. Powyższe dane </w:t>
            </w: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są  niepokojące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>, bo taki stan rzeczy może prowadzić do ryzyka związanego z niewłaściwym gospodarowaniem odpadami medycznymi, w tym zwłaszcza o właściwościach zakaźnych. Ponadto niewłaściwa gospodarka odpadami medycznymi może prowadzić do zawyżania kosztów gospodarowania odpadami w szpitalach.</w:t>
            </w:r>
          </w:p>
          <w:p w:rsidR="00375441" w:rsidRPr="00650152" w:rsidRDefault="00375441" w:rsidP="00933B3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ECD">
              <w:rPr>
                <w:rFonts w:asciiTheme="majorHAnsi" w:eastAsia="Arial Narrow" w:hAnsiTheme="majorHAnsi" w:cstheme="majorHAnsi"/>
              </w:rPr>
              <w:t>Biorąc powyższe pod uwagę, należy stwierdzić, że istnieje pilna potrzeba podniesienia i usystematyzowania kwalifikacji dla osób odpowiedzialnych za gospodarkę odpadami medycznymi w podmiotach leczniczych.</w:t>
            </w:r>
          </w:p>
        </w:tc>
        <w:tc>
          <w:tcPr>
            <w:tcW w:w="2701" w:type="pct"/>
          </w:tcPr>
          <w:p w:rsidR="00375441" w:rsidRPr="0009289C" w:rsidRDefault="00375441" w:rsidP="008A5888">
            <w:pPr>
              <w:pStyle w:val="Default"/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pct"/>
            <w:vAlign w:val="center"/>
          </w:tcPr>
          <w:p w:rsidR="00375441" w:rsidRPr="002812FE" w:rsidRDefault="00375441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:rsidR="00375441" w:rsidRPr="00DF64B6" w:rsidRDefault="00375441" w:rsidP="004E15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50ECD">
              <w:rPr>
                <w:rFonts w:asciiTheme="majorHAnsi" w:eastAsia="Arial Narrow" w:hAnsiTheme="majorHAnsi" w:cstheme="majorHAnsi"/>
              </w:rPr>
              <w:t>brak</w:t>
            </w:r>
            <w:proofErr w:type="gramEnd"/>
            <w:r w:rsidRPr="00B50ECD">
              <w:rPr>
                <w:rFonts w:asciiTheme="majorHAnsi" w:eastAsia="Arial Narrow" w:hAnsiTheme="majorHAnsi" w:cstheme="majorHAnsi"/>
              </w:rPr>
              <w:t xml:space="preserve"> kwalifikacji o zbliżonym charakterze</w:t>
            </w:r>
          </w:p>
        </w:tc>
        <w:tc>
          <w:tcPr>
            <w:tcW w:w="2701" w:type="pct"/>
          </w:tcPr>
          <w:p w:rsidR="00375441" w:rsidRPr="00650152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pct"/>
            <w:vAlign w:val="center"/>
          </w:tcPr>
          <w:p w:rsidR="00375441" w:rsidRPr="002812FE" w:rsidRDefault="00375441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:rsidR="00375441" w:rsidRPr="00DF64B6" w:rsidRDefault="00375441" w:rsidP="006755C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0ECD">
              <w:rPr>
                <w:rFonts w:asciiTheme="majorHAnsi" w:eastAsia="Arial Narrow" w:hAnsiTheme="majorHAnsi" w:cstheme="majorHAnsi"/>
              </w:rPr>
              <w:t xml:space="preserve">Osoba posiadająca kwalifikację “Organizowanie gospodarki odpadami medycznymi w miejscach ich wytwarzania” może znaleźć zatrudnienie na stanowisku Specjalisty ds. gospodarki odpadami medycznymi lub gospodarki odpadami w podmiocie medycznym. Zdobycie tej kwalifikacji może również być istotnym elementem rozwoju </w:t>
            </w:r>
            <w:r w:rsidRPr="00B50ECD">
              <w:rPr>
                <w:rFonts w:asciiTheme="majorHAnsi" w:eastAsia="Arial Narrow" w:hAnsiTheme="majorHAnsi" w:cstheme="majorHAnsi"/>
              </w:rPr>
              <w:lastRenderedPageBreak/>
              <w:t>zawodowego pracowników inspekcji sanitarnej i środowiskowej zatrudnionych w kontroli i nadzorze placówek medycznych.</w:t>
            </w:r>
          </w:p>
        </w:tc>
        <w:tc>
          <w:tcPr>
            <w:tcW w:w="2701" w:type="pct"/>
          </w:tcPr>
          <w:p w:rsidR="00375441" w:rsidRPr="00650152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pct"/>
            <w:vAlign w:val="center"/>
          </w:tcPr>
          <w:p w:rsidR="00375441" w:rsidRDefault="00375441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:rsidR="00375441" w:rsidRPr="00796528" w:rsidRDefault="00375441" w:rsidP="00933B37">
            <w:pPr>
              <w:pStyle w:val="Normalny1"/>
              <w:spacing w:before="120" w:after="120" w:line="276" w:lineRule="auto"/>
              <w:rPr>
                <w:rFonts w:asciiTheme="majorHAnsi" w:eastAsia="Lato" w:hAnsiTheme="majorHAnsi" w:cstheme="majorHAnsi"/>
                <w:b/>
              </w:rPr>
            </w:pPr>
            <w:r w:rsidRPr="00796528">
              <w:rPr>
                <w:rFonts w:asciiTheme="majorHAnsi" w:eastAsia="Lato" w:hAnsiTheme="majorHAnsi" w:cstheme="majorHAnsi"/>
                <w:b/>
              </w:rPr>
              <w:t>1. Weryfikacja</w:t>
            </w:r>
          </w:p>
          <w:p w:rsidR="00375441" w:rsidRPr="00796528" w:rsidRDefault="00375441" w:rsidP="00933B37">
            <w:pPr>
              <w:pStyle w:val="Normalny1"/>
              <w:spacing w:before="120" w:after="120" w:line="276" w:lineRule="auto"/>
              <w:rPr>
                <w:rFonts w:asciiTheme="majorHAnsi" w:eastAsia="Lato" w:hAnsiTheme="majorHAnsi" w:cstheme="majorHAnsi"/>
                <w:b/>
              </w:rPr>
            </w:pPr>
            <w:r w:rsidRPr="00796528">
              <w:rPr>
                <w:rFonts w:asciiTheme="majorHAnsi" w:eastAsia="Lato" w:hAnsiTheme="majorHAnsi" w:cstheme="majorHAnsi"/>
                <w:b/>
              </w:rPr>
              <w:t>1.1. Metody</w:t>
            </w:r>
          </w:p>
          <w:p w:rsidR="00375441" w:rsidRPr="00796528" w:rsidRDefault="00375441" w:rsidP="00933B37">
            <w:pPr>
              <w:pStyle w:val="Normalny1"/>
              <w:jc w:val="both"/>
              <w:rPr>
                <w:rFonts w:asciiTheme="majorHAnsi" w:hAnsiTheme="majorHAnsi" w:cstheme="majorHAnsi"/>
              </w:rPr>
            </w:pPr>
            <w:r w:rsidRPr="00796528">
              <w:rPr>
                <w:rFonts w:asciiTheme="majorHAnsi" w:hAnsiTheme="majorHAnsi" w:cstheme="majorHAnsi"/>
              </w:rPr>
              <w:t xml:space="preserve">Do weryfikacji efektów uczenia się wskazanych dla kwalifikacji dopuszcza się następujące metody: </w:t>
            </w:r>
          </w:p>
          <w:p w:rsidR="00375441" w:rsidRPr="00796528" w:rsidRDefault="00375441" w:rsidP="00933B37">
            <w:pPr>
              <w:pStyle w:val="Normalny1"/>
              <w:jc w:val="both"/>
              <w:rPr>
                <w:rFonts w:asciiTheme="majorHAnsi" w:hAnsiTheme="majorHAnsi" w:cstheme="majorHAnsi"/>
              </w:rPr>
            </w:pPr>
            <w:r w:rsidRPr="00796528">
              <w:rPr>
                <w:rFonts w:asciiTheme="majorHAnsi" w:hAnsiTheme="majorHAnsi" w:cstheme="majorHAnsi"/>
              </w:rPr>
              <w:t>- test teoretyczny (forma pisemna lub ustna),</w:t>
            </w:r>
          </w:p>
          <w:p w:rsidR="00375441" w:rsidRPr="00796528" w:rsidRDefault="00375441" w:rsidP="00933B37">
            <w:pPr>
              <w:pStyle w:val="Normalny1"/>
              <w:jc w:val="both"/>
              <w:rPr>
                <w:rFonts w:asciiTheme="majorHAnsi" w:hAnsiTheme="majorHAnsi" w:cstheme="majorHAnsi"/>
              </w:rPr>
            </w:pPr>
            <w:r w:rsidRPr="00796528">
              <w:rPr>
                <w:rFonts w:asciiTheme="majorHAnsi" w:hAnsiTheme="majorHAnsi" w:cstheme="majorHAnsi"/>
              </w:rPr>
              <w:t>- obserwacja w warunkach symulowanych lub zadanie praktyczne,</w:t>
            </w:r>
          </w:p>
          <w:p w:rsidR="00375441" w:rsidRPr="00796528" w:rsidRDefault="00375441" w:rsidP="00933B37">
            <w:pPr>
              <w:pStyle w:val="Tekstkomentarza"/>
              <w:rPr>
                <w:rFonts w:asciiTheme="majorHAnsi" w:hAnsiTheme="majorHAnsi" w:cstheme="majorHAnsi"/>
                <w:sz w:val="22"/>
                <w:szCs w:val="22"/>
              </w:rPr>
            </w:pPr>
            <w:r w:rsidRPr="00796528">
              <w:rPr>
                <w:rFonts w:asciiTheme="majorHAnsi" w:hAnsiTheme="majorHAnsi" w:cstheme="majorHAnsi"/>
                <w:sz w:val="22"/>
                <w:szCs w:val="22"/>
              </w:rPr>
              <w:t>- analiza dowodów uzupełniona rozmową z komisją.</w:t>
            </w:r>
          </w:p>
          <w:p w:rsidR="00375441" w:rsidRPr="00796528" w:rsidRDefault="00375441" w:rsidP="00933B37">
            <w:pPr>
              <w:pStyle w:val="Tekstkomentarza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796528">
              <w:rPr>
                <w:rFonts w:asciiTheme="majorHAnsi" w:hAnsiTheme="majorHAnsi" w:cstheme="majorHAnsi"/>
                <w:sz w:val="22"/>
                <w:szCs w:val="22"/>
              </w:rPr>
              <w:t>Umiejętność „</w:t>
            </w:r>
            <w:r w:rsidRPr="00796528">
              <w:rPr>
                <w:rFonts w:asciiTheme="majorHAnsi" w:eastAsia="Arial Narrow" w:hAnsiTheme="majorHAnsi" w:cstheme="majorHAnsi"/>
                <w:sz w:val="22"/>
                <w:szCs w:val="22"/>
              </w:rPr>
              <w:t>Przeprowadza kontrolę wewnętrzną” z zestawu 06 będzie sprawdzana za pomocą obserwacji w warunkach symulowanych lub zadaniem praktycznym, wszystkie pozostałe umiejętności będą sprawdzane za pomocą testu teoretycznego.</w:t>
            </w:r>
          </w:p>
          <w:p w:rsidR="00375441" w:rsidRPr="00796528" w:rsidRDefault="00375441" w:rsidP="00933B37">
            <w:pPr>
              <w:pStyle w:val="Tekstkomentarza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796528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W procesie weryfikacji efektów uczenia się dopuszcza się także metodę analizy dowodów uzupełnionej rozmową, za </w:t>
            </w:r>
            <w:proofErr w:type="gramStart"/>
            <w:r w:rsidRPr="00796528">
              <w:rPr>
                <w:rFonts w:asciiTheme="majorHAnsi" w:eastAsia="Arial Narrow" w:hAnsiTheme="majorHAnsi" w:cstheme="majorHAnsi"/>
                <w:sz w:val="22"/>
                <w:szCs w:val="22"/>
              </w:rPr>
              <w:t>pomocą których</w:t>
            </w:r>
            <w:proofErr w:type="gramEnd"/>
            <w:r w:rsidRPr="00796528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uczestnik walidacji może potwierdzić posiadanie wszystkich lub części efektów uczenia się. Uznawanymi dowodami mogą być np. procedury postępowania z odpadami medycznymi w miejscu pracy, Specyfikacja Istotnych Warunków Zamówienia w zakresie odbioru odpadów medycznych.</w:t>
            </w:r>
          </w:p>
          <w:p w:rsidR="00375441" w:rsidRPr="00796528" w:rsidRDefault="00375441" w:rsidP="00933B37">
            <w:pPr>
              <w:pStyle w:val="Normalny1"/>
              <w:spacing w:before="120" w:after="120" w:line="276" w:lineRule="auto"/>
              <w:rPr>
                <w:rFonts w:asciiTheme="majorHAnsi" w:eastAsia="Lato" w:hAnsiTheme="majorHAnsi" w:cstheme="majorHAnsi"/>
                <w:b/>
              </w:rPr>
            </w:pPr>
            <w:r w:rsidRPr="00796528">
              <w:rPr>
                <w:rFonts w:asciiTheme="majorHAnsi" w:eastAsia="Lato" w:hAnsiTheme="majorHAnsi" w:cstheme="majorHAnsi"/>
                <w:b/>
              </w:rPr>
              <w:t>1.2. Zasoby kadrowe</w:t>
            </w:r>
          </w:p>
          <w:p w:rsidR="00375441" w:rsidRPr="00796528" w:rsidRDefault="00375441" w:rsidP="00933B37">
            <w:pPr>
              <w:pStyle w:val="Normalny1"/>
              <w:widowControl w:val="0"/>
              <w:spacing w:before="120" w:after="120"/>
              <w:rPr>
                <w:rFonts w:asciiTheme="majorHAnsi" w:eastAsia="Lato" w:hAnsiTheme="majorHAnsi" w:cstheme="majorHAnsi"/>
              </w:rPr>
            </w:pPr>
            <w:r w:rsidRPr="00796528">
              <w:rPr>
                <w:rFonts w:asciiTheme="majorHAnsi" w:eastAsia="Lato" w:hAnsiTheme="majorHAnsi" w:cstheme="majorHAnsi"/>
              </w:rPr>
              <w:t>Komisja weryfikacyjna składa się z min. trzech osób</w:t>
            </w:r>
            <w:r w:rsidRPr="00796528">
              <w:rPr>
                <w:rFonts w:asciiTheme="majorHAnsi" w:eastAsia="Lato" w:hAnsiTheme="majorHAnsi" w:cstheme="majorHAnsi"/>
                <w:color w:val="008080"/>
              </w:rPr>
              <w:t xml:space="preserve">. </w:t>
            </w:r>
            <w:r w:rsidRPr="00796528">
              <w:rPr>
                <w:rFonts w:asciiTheme="majorHAnsi" w:eastAsia="Lato" w:hAnsiTheme="majorHAnsi" w:cstheme="majorHAnsi"/>
              </w:rPr>
              <w:t>Każdy z członków komisji posiada wykształcenie wyższe.</w:t>
            </w:r>
          </w:p>
          <w:p w:rsidR="00375441" w:rsidRPr="00796528" w:rsidRDefault="00375441" w:rsidP="00933B37">
            <w:pPr>
              <w:pStyle w:val="Normalny1"/>
              <w:widowControl w:val="0"/>
              <w:spacing w:before="120" w:after="120"/>
              <w:rPr>
                <w:rFonts w:asciiTheme="majorHAnsi" w:eastAsia="Lato" w:hAnsiTheme="majorHAnsi" w:cstheme="majorHAnsi"/>
              </w:rPr>
            </w:pPr>
            <w:r w:rsidRPr="00796528">
              <w:rPr>
                <w:rFonts w:asciiTheme="majorHAnsi" w:eastAsia="Lato" w:hAnsiTheme="majorHAnsi" w:cstheme="majorHAnsi"/>
              </w:rPr>
              <w:t>Członkowie komisji weryfikacyjnej muszą spełniać łącznie następujące warunki:</w:t>
            </w:r>
          </w:p>
          <w:p w:rsidR="00375441" w:rsidRPr="00796528" w:rsidRDefault="00375441" w:rsidP="00507251">
            <w:pPr>
              <w:pStyle w:val="Normalny1"/>
              <w:keepNext/>
              <w:keepLines/>
              <w:widowControl w:val="0"/>
              <w:numPr>
                <w:ilvl w:val="0"/>
                <w:numId w:val="6"/>
              </w:numPr>
              <w:spacing w:before="120" w:after="120"/>
              <w:outlineLvl w:val="1"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lastRenderedPageBreak/>
              <w:t>co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najmniej 3-letnie doświadczenie w prowadzeniu szkoleń lub inspekcji w zakresie gospodarki odpadami medycznymi,</w:t>
            </w:r>
          </w:p>
          <w:p w:rsidR="00375441" w:rsidRPr="00796528" w:rsidRDefault="00375441" w:rsidP="00507251">
            <w:pPr>
              <w:pStyle w:val="Normalny1"/>
              <w:keepNext/>
              <w:keepLines/>
              <w:widowControl w:val="0"/>
              <w:numPr>
                <w:ilvl w:val="0"/>
                <w:numId w:val="6"/>
              </w:numPr>
              <w:spacing w:before="120" w:after="120"/>
              <w:outlineLvl w:val="1"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co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najmniej 3-letnie doświadczenie w egzaminowaniu w obszarze medycznym lub gospodarki odpadami,</w:t>
            </w:r>
          </w:p>
          <w:p w:rsidR="00375441" w:rsidRPr="00796528" w:rsidRDefault="00375441" w:rsidP="00507251">
            <w:pPr>
              <w:pStyle w:val="Normalny1"/>
              <w:keepNext/>
              <w:keepLines/>
              <w:widowControl w:val="0"/>
              <w:numPr>
                <w:ilvl w:val="0"/>
                <w:numId w:val="6"/>
              </w:numPr>
              <w:spacing w:before="120" w:after="120"/>
              <w:outlineLvl w:val="1"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autorstwo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</w:t>
            </w:r>
            <w:r>
              <w:rPr>
                <w:rFonts w:asciiTheme="majorHAnsi" w:eastAsia="Arial Narrow" w:hAnsiTheme="majorHAnsi" w:cstheme="majorHAnsi"/>
              </w:rPr>
              <w:t>2</w:t>
            </w:r>
            <w:r w:rsidRPr="00796528">
              <w:rPr>
                <w:rFonts w:asciiTheme="majorHAnsi" w:eastAsia="Arial Narrow" w:hAnsiTheme="majorHAnsi" w:cstheme="majorHAnsi"/>
              </w:rPr>
              <w:t xml:space="preserve"> publikacji naukowych lub naukowo-technicznych w zakresie odpadów medycznych lub udział w pracach badawczych </w:t>
            </w:r>
            <w:r>
              <w:rPr>
                <w:rFonts w:asciiTheme="majorHAnsi" w:eastAsia="Arial Narrow" w:hAnsiTheme="majorHAnsi" w:cstheme="majorHAnsi"/>
              </w:rPr>
              <w:t xml:space="preserve">lub wdrożeniowych </w:t>
            </w:r>
            <w:r w:rsidRPr="00796528">
              <w:rPr>
                <w:rFonts w:asciiTheme="majorHAnsi" w:eastAsia="Arial Narrow" w:hAnsiTheme="majorHAnsi" w:cstheme="majorHAnsi"/>
              </w:rPr>
              <w:t>w zakresie odpadów medycznych realizowanych w okresie 10 lat poprzedzających proces walidacji.</w:t>
            </w:r>
          </w:p>
          <w:p w:rsidR="00375441" w:rsidRPr="00796528" w:rsidRDefault="00375441" w:rsidP="00933B37">
            <w:pPr>
              <w:pStyle w:val="Tekstkomentarza"/>
              <w:rPr>
                <w:rFonts w:asciiTheme="majorHAnsi" w:hAnsiTheme="majorHAnsi" w:cstheme="majorHAnsi"/>
                <w:sz w:val="22"/>
                <w:szCs w:val="22"/>
              </w:rPr>
            </w:pPr>
            <w:r w:rsidRPr="00796528">
              <w:rPr>
                <w:rFonts w:asciiTheme="majorHAnsi" w:hAnsiTheme="majorHAnsi" w:cstheme="majorHAnsi"/>
                <w:sz w:val="22"/>
                <w:szCs w:val="22"/>
              </w:rPr>
              <w:t xml:space="preserve">Każdy z ekspertów musi </w:t>
            </w:r>
            <w:proofErr w:type="gramStart"/>
            <w:r w:rsidRPr="00796528">
              <w:rPr>
                <w:rFonts w:asciiTheme="majorHAnsi" w:hAnsiTheme="majorHAnsi" w:cstheme="majorHAnsi"/>
                <w:sz w:val="22"/>
                <w:szCs w:val="22"/>
              </w:rPr>
              <w:t>spełniać co</w:t>
            </w:r>
            <w:proofErr w:type="gramEnd"/>
            <w:r w:rsidRPr="00796528">
              <w:rPr>
                <w:rFonts w:asciiTheme="majorHAnsi" w:hAnsiTheme="majorHAnsi" w:cstheme="majorHAnsi"/>
                <w:sz w:val="22"/>
                <w:szCs w:val="22"/>
              </w:rPr>
              <w:t xml:space="preserve"> najmniej jeden z powyższych warunków.</w:t>
            </w:r>
          </w:p>
          <w:p w:rsidR="00375441" w:rsidRPr="00796528" w:rsidRDefault="00375441" w:rsidP="00933B37">
            <w:pPr>
              <w:pStyle w:val="Normalny1"/>
              <w:spacing w:before="120" w:after="120" w:line="276" w:lineRule="auto"/>
              <w:rPr>
                <w:rFonts w:asciiTheme="majorHAnsi" w:eastAsia="Lato" w:hAnsiTheme="majorHAnsi" w:cstheme="majorHAnsi"/>
                <w:b/>
              </w:rPr>
            </w:pPr>
            <w:r w:rsidRPr="00796528">
              <w:rPr>
                <w:rFonts w:asciiTheme="majorHAnsi" w:eastAsia="Lato" w:hAnsiTheme="majorHAnsi" w:cstheme="majorHAnsi"/>
                <w:b/>
              </w:rPr>
              <w:t>1.3. Warunki przeprowadzania weryfikacji</w:t>
            </w:r>
          </w:p>
          <w:p w:rsidR="00375441" w:rsidRPr="00796528" w:rsidRDefault="00375441" w:rsidP="00933B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796528">
              <w:rPr>
                <w:rFonts w:asciiTheme="majorHAnsi" w:hAnsiTheme="majorHAnsi" w:cstheme="majorHAnsi"/>
              </w:rPr>
              <w:t>Weryfikacja efektów uczenia się odbywa się w dwóch etapach. Etap I stanowi pisemny test teoretyczny. Na etap II składają się: rozmowa z komisją egzaminacyjną oraz obserwacja w warunkach symulowanych. Warunkiem przejścia do etapu II jest pozytywna weryfikacja w etapie I.</w:t>
            </w:r>
          </w:p>
          <w:p w:rsidR="00375441" w:rsidRPr="00796528" w:rsidRDefault="00375441" w:rsidP="00933B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375441" w:rsidRPr="00796528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796528">
              <w:rPr>
                <w:rFonts w:asciiTheme="majorHAnsi" w:eastAsia="Arial Narrow" w:hAnsiTheme="majorHAnsi" w:cstheme="majorHAnsi"/>
              </w:rPr>
              <w:t xml:space="preserve">Materiały niezbędne do przeprowadzenia weryfikacji: </w:t>
            </w:r>
          </w:p>
          <w:p w:rsidR="00375441" w:rsidRPr="00796528" w:rsidRDefault="00375441" w:rsidP="00933B37">
            <w:pPr>
              <w:pStyle w:val="Normalny1"/>
              <w:widowControl w:val="0"/>
              <w:spacing w:before="120" w:after="120" w:line="276" w:lineRule="auto"/>
              <w:rPr>
                <w:rFonts w:asciiTheme="majorHAnsi" w:eastAsia="Arial Narrow" w:hAnsiTheme="majorHAnsi" w:cstheme="majorHAnsi"/>
              </w:rPr>
            </w:pPr>
            <w:r w:rsidRPr="00796528">
              <w:rPr>
                <w:rFonts w:asciiTheme="majorHAnsi" w:eastAsia="Arial Narrow" w:hAnsiTheme="majorHAnsi" w:cstheme="majorHAnsi"/>
              </w:rPr>
              <w:t xml:space="preserve">Zestaw dokumentów niezbędnych do przeprowadzenia weryfikacji efektów uczenia się opisanych dla </w:t>
            </w: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kwalifikacji  zawierający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>: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0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r w:rsidRPr="00796528">
              <w:rPr>
                <w:rFonts w:asciiTheme="majorHAnsi" w:eastAsia="Arial Narrow" w:hAnsiTheme="majorHAnsi" w:cstheme="majorHAnsi"/>
              </w:rPr>
              <w:t xml:space="preserve">Charakterystyki nie mniej niż 10 różnych jednostek organizacyjnych placówki medycznej (np. OIOM, oddział zabiegowy, oddział niezabiegowy, oddział pediatryczny itd.) zawierające informacje niezbędne do przygotowania procedury postępowania z odpadami medycznymi; 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0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r w:rsidRPr="00796528">
              <w:rPr>
                <w:rFonts w:asciiTheme="majorHAnsi" w:eastAsia="Arial Narrow" w:hAnsiTheme="majorHAnsi" w:cstheme="majorHAnsi"/>
              </w:rPr>
              <w:t>Zestaw pustych formularzy do ewidencji odpadów medycznych (zgodnych z aktualnymi przepisami prawa);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0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r w:rsidRPr="00796528">
              <w:rPr>
                <w:rFonts w:asciiTheme="majorHAnsi" w:eastAsia="Arial Narrow" w:hAnsiTheme="majorHAnsi" w:cstheme="majorHAnsi"/>
              </w:rPr>
              <w:t>Zestaw falsyfikatów lub zanonimizowanych dokumentów: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2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zestaw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wypełnionych formularzy do ewidencji </w:t>
            </w:r>
            <w:r w:rsidRPr="00796528">
              <w:rPr>
                <w:rFonts w:asciiTheme="majorHAnsi" w:eastAsia="Arial Narrow" w:hAnsiTheme="majorHAnsi" w:cstheme="majorHAnsi"/>
              </w:rPr>
              <w:lastRenderedPageBreak/>
              <w:t xml:space="preserve">odpadów medycznych (zgodnych z aktualnymi przepisami prawa), 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2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decyzje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administracyjne dotyczące przetwarzania odpadów medycznych, 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2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dokumenty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potwierdzające unieszkodliwienie zakaźnych odpadów medycznych, 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2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faktury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potwierdzające wykonanie usługi odbioru, 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2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umowy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z odbiorcami odpadów medycznych,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2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zawierających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informacje niezbędne do analizy wzajemnej spójności dokumentów. 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0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r w:rsidRPr="00796528">
              <w:rPr>
                <w:rFonts w:asciiTheme="majorHAnsi" w:eastAsia="Arial Narrow" w:hAnsiTheme="majorHAnsi" w:cstheme="majorHAnsi"/>
              </w:rPr>
              <w:t xml:space="preserve">Schemat postępowania z odpadami </w:t>
            </w: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medycznymi  dla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nie mniej niż 10 różnych jednostek organizacyjnych placówki medycznej (np. OIOM, oddział zabiegowy, oddział niezabiegowy, oddział pediatryczny itd.); </w:t>
            </w:r>
          </w:p>
          <w:p w:rsidR="00375441" w:rsidRPr="00796528" w:rsidRDefault="00375441" w:rsidP="00507251">
            <w:pPr>
              <w:pStyle w:val="Normalny1"/>
              <w:widowControl w:val="0"/>
              <w:numPr>
                <w:ilvl w:val="0"/>
                <w:numId w:val="5"/>
              </w:numPr>
              <w:spacing w:before="120" w:after="120" w:line="276" w:lineRule="auto"/>
              <w:contextualSpacing/>
              <w:rPr>
                <w:rFonts w:asciiTheme="majorHAnsi" w:eastAsia="Arial Narrow" w:hAnsiTheme="majorHAnsi" w:cstheme="majorHAnsi"/>
              </w:rPr>
            </w:pPr>
            <w:r w:rsidRPr="00796528">
              <w:rPr>
                <w:rFonts w:asciiTheme="majorHAnsi" w:eastAsia="Arial Narrow" w:hAnsiTheme="majorHAnsi" w:cstheme="majorHAnsi"/>
              </w:rPr>
              <w:t xml:space="preserve">Narzędzia kontroli (np. ustrukturyzowane wywiady z pracownikami, lista </w:t>
            </w:r>
            <w:proofErr w:type="gramStart"/>
            <w:r w:rsidRPr="00796528">
              <w:rPr>
                <w:rFonts w:asciiTheme="majorHAnsi" w:eastAsia="Arial Narrow" w:hAnsiTheme="majorHAnsi" w:cstheme="majorHAnsi"/>
              </w:rPr>
              <w:t>kontrolna)  lub</w:t>
            </w:r>
            <w:proofErr w:type="gramEnd"/>
            <w:r w:rsidRPr="00796528">
              <w:rPr>
                <w:rFonts w:asciiTheme="majorHAnsi" w:eastAsia="Arial Narrow" w:hAnsiTheme="majorHAnsi" w:cstheme="majorHAnsi"/>
              </w:rPr>
              <w:t xml:space="preserve"> zanonimizowane materiały audiowizualne zawierające nieprawidłowości w postępowaniu z odpadami medycznymi (np. zdjęcia i fragmenty filmów z miejsc wytwarzania i magazynowania oraz środków transportu wewnętrznego)  umożliwiające symulację przeprowadzenia kontroli wewnętrznej. </w:t>
            </w:r>
          </w:p>
          <w:p w:rsidR="00375441" w:rsidRDefault="00375441" w:rsidP="00933B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375441" w:rsidRDefault="00375441" w:rsidP="00933B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375441" w:rsidRPr="00796528" w:rsidRDefault="00375441" w:rsidP="00933B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375441" w:rsidRPr="00796528" w:rsidRDefault="00375441" w:rsidP="00933B37">
            <w:pPr>
              <w:pStyle w:val="Normalny1"/>
              <w:spacing w:before="120" w:after="120" w:line="276" w:lineRule="auto"/>
              <w:rPr>
                <w:rFonts w:asciiTheme="majorHAnsi" w:eastAsia="Lato" w:hAnsiTheme="majorHAnsi" w:cstheme="majorHAnsi"/>
                <w:b/>
              </w:rPr>
            </w:pPr>
            <w:r w:rsidRPr="00796528">
              <w:rPr>
                <w:rFonts w:asciiTheme="majorHAnsi" w:eastAsia="Lato" w:hAnsiTheme="majorHAnsi" w:cstheme="majorHAnsi"/>
                <w:b/>
              </w:rPr>
              <w:t>2. Etapy identyfikowania i dokumentacji</w:t>
            </w:r>
          </w:p>
          <w:p w:rsidR="00375441" w:rsidRPr="00933B37" w:rsidRDefault="00375441" w:rsidP="0093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</w:pPr>
            <w:r w:rsidRPr="00796528">
              <w:rPr>
                <w:rFonts w:asciiTheme="majorHAnsi" w:eastAsia="Lato" w:hAnsiTheme="majorHAnsi" w:cstheme="majorHAnsi"/>
              </w:rPr>
              <w:t>Nie określa się wymagań dla etapów identyfikowania i dokumentowania efektów uczenia się.</w:t>
            </w:r>
          </w:p>
        </w:tc>
        <w:tc>
          <w:tcPr>
            <w:tcW w:w="2701" w:type="pct"/>
            <w:vAlign w:val="center"/>
          </w:tcPr>
          <w:p w:rsidR="00375441" w:rsidRPr="00E019D4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2" w:type="pct"/>
            <w:vAlign w:val="center"/>
          </w:tcPr>
          <w:p w:rsidR="00375441" w:rsidRDefault="00375441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Opis efektów uczenia się obejmujący syntetyczna charakterystykę efektów uczenia </w:t>
            </w:r>
            <w:proofErr w:type="gramStart"/>
            <w:r w:rsidRPr="002812FE">
              <w:rPr>
                <w:rFonts w:eastAsia="Lato"/>
                <w:b/>
              </w:rPr>
              <w:t xml:space="preserve">się , </w:t>
            </w:r>
            <w:proofErr w:type="gramEnd"/>
            <w:r w:rsidRPr="002812FE">
              <w:rPr>
                <w:rFonts w:eastAsia="Lato"/>
                <w:b/>
              </w:rPr>
              <w:t>zestawy efektów uczenia się, poszczególne efekty uczenia się w zestawach wraz z kryteriami weryfikacji ich osiągnięcia</w:t>
            </w:r>
          </w:p>
          <w:p w:rsidR="00375441" w:rsidRPr="00893F30" w:rsidRDefault="00375441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:rsidR="00375441" w:rsidRPr="00B50ECD" w:rsidRDefault="00375441" w:rsidP="002E13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 xml:space="preserve">Osoba posiadająca kwalifikację “Organizowanie gospodarki odpadami medycznymi w miejscach ich wytwarzania” pracuje samodzielnie, okazjonalnie nadzorując pracę innych osób. Jest odpowiedzialna za opracowanie procedur postępowania z odpadami medycznymi oraz procedury obiegu ewidencji odpadów medycznych w miejscu swojego zatrudnienia. W ramach swoich działań na terenie placówki organizuje odbiór odpadów medycznych i współpracuje z podmiotami zewnętrznymi w zakresie odbioru i przetwarzania odpadów medycznych. </w:t>
            </w:r>
          </w:p>
          <w:p w:rsidR="00375441" w:rsidRPr="00B50ECD" w:rsidRDefault="00375441" w:rsidP="002E13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>Przygotowuje materiały oraz organizuje szkolenia z zakresu prawidłowej gospodarki odpadami medycznymi dla innych osób zatrudnionych w placówce.</w:t>
            </w:r>
          </w:p>
          <w:p w:rsidR="00375441" w:rsidRPr="00B50ECD" w:rsidRDefault="00375441" w:rsidP="002E139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 xml:space="preserve">Do zadań osoby posiadającej kwalifikacje “Organizowanie gospodarki odpadami medycznymi w miejscach ich wytwarzania” należy również przygotowanie i organizacja okresowych kontroli wewnętrznych oraz współpraca z organami kontroli zewnętrznej. </w:t>
            </w:r>
          </w:p>
          <w:p w:rsidR="00375441" w:rsidRDefault="00375441" w:rsidP="002E1394">
            <w:pPr>
              <w:pStyle w:val="Normalny1"/>
              <w:spacing w:before="120" w:after="120" w:line="276" w:lineRule="auto"/>
              <w:jc w:val="both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 xml:space="preserve">Osoba posiadająca tę kwalifikację, stosuje przepisy wynikające z obowiązującego prawa regulującego gospodarkę odpadami medycznymi w miejscu ich wytwarzania. </w:t>
            </w:r>
          </w:p>
          <w:p w:rsidR="00375441" w:rsidRDefault="00375441" w:rsidP="002E1394">
            <w:pPr>
              <w:pStyle w:val="Normalny1"/>
              <w:spacing w:before="120" w:after="120" w:line="276" w:lineRule="auto"/>
              <w:jc w:val="both"/>
              <w:rPr>
                <w:rFonts w:eastAsia="Lato"/>
                <w:b/>
              </w:rPr>
            </w:pPr>
            <w:r>
              <w:rPr>
                <w:rFonts w:eastAsia="Lato"/>
                <w:b/>
              </w:rPr>
              <w:t>Wyodrębnione z</w:t>
            </w:r>
            <w:r w:rsidRPr="002812FE">
              <w:rPr>
                <w:rFonts w:eastAsia="Lato"/>
                <w:b/>
              </w:rPr>
              <w:t>estawy efektów uczenia się</w:t>
            </w:r>
          </w:p>
          <w:p w:rsidR="00375441" w:rsidRPr="00B50ECD" w:rsidRDefault="00375441" w:rsidP="00507251">
            <w:pPr>
              <w:pStyle w:val="Normalny1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lastRenderedPageBreak/>
              <w:t>Opracowanie i doskonalenie/aktualizacja procedur postępowania z odpadami medycznymi w miejscu ich wytwarzania.</w:t>
            </w:r>
          </w:p>
          <w:p w:rsidR="00375441" w:rsidRPr="00B50ECD" w:rsidRDefault="00375441" w:rsidP="00507251">
            <w:pPr>
              <w:pStyle w:val="Normalny1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>Organizowanie gromadzenia odpadów medycznych w miejscu wytwarzania.</w:t>
            </w:r>
          </w:p>
          <w:p w:rsidR="00375441" w:rsidRPr="00B50ECD" w:rsidRDefault="00375441" w:rsidP="00507251">
            <w:pPr>
              <w:pStyle w:val="Normalny1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>Ewidencjonowanie odpadów medycznych i przygotowanie sprawozdań.</w:t>
            </w:r>
          </w:p>
          <w:p w:rsidR="00375441" w:rsidRPr="00B50ECD" w:rsidRDefault="00375441" w:rsidP="00507251">
            <w:pPr>
              <w:pStyle w:val="Normalny1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>Przygotowanie odbioru odpadów medycznych z placówki.</w:t>
            </w:r>
          </w:p>
          <w:p w:rsidR="00375441" w:rsidRPr="00B50ECD" w:rsidRDefault="00375441" w:rsidP="00507251">
            <w:pPr>
              <w:pStyle w:val="Normalny1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>Udzielanie informacji na temat gospodarki odpadami medycznymi w czasie kontroli instytucji zewnętrznych.</w:t>
            </w:r>
          </w:p>
          <w:p w:rsidR="00375441" w:rsidRPr="00B50ECD" w:rsidRDefault="00375441" w:rsidP="00507251">
            <w:pPr>
              <w:pStyle w:val="Normalny1"/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contextualSpacing/>
              <w:jc w:val="both"/>
              <w:rPr>
                <w:rFonts w:asciiTheme="majorHAnsi" w:eastAsia="Lato" w:hAnsiTheme="majorHAnsi" w:cstheme="majorHAnsi"/>
              </w:rPr>
            </w:pPr>
            <w:r w:rsidRPr="00B50ECD">
              <w:rPr>
                <w:rFonts w:asciiTheme="majorHAnsi" w:eastAsia="Lato" w:hAnsiTheme="majorHAnsi" w:cstheme="majorHAnsi"/>
              </w:rPr>
              <w:t xml:space="preserve">Prowadzenie kontroli wewnętrznej w zakresie gospodarki odpadami medycznymi w placówce. </w:t>
            </w:r>
          </w:p>
          <w:p w:rsidR="00375441" w:rsidRDefault="00375441" w:rsidP="002E1394">
            <w:pPr>
              <w:pStyle w:val="Normalny1"/>
              <w:spacing w:before="120" w:after="120" w:line="276" w:lineRule="auto"/>
              <w:jc w:val="both"/>
              <w:rPr>
                <w:rFonts w:eastAsia="Lato"/>
                <w:b/>
              </w:rPr>
            </w:pPr>
            <w:r w:rsidRPr="00B50ECD">
              <w:rPr>
                <w:rFonts w:asciiTheme="majorHAnsi" w:eastAsia="Lato" w:hAnsiTheme="majorHAnsi" w:cstheme="majorHAnsi"/>
              </w:rPr>
              <w:t>Organizowanie szkoleń w zakresie gospodarki odpadami medycznymi.</w:t>
            </w:r>
          </w:p>
          <w:p w:rsidR="00375441" w:rsidRPr="00AD354E" w:rsidRDefault="00375441" w:rsidP="00AD354E">
            <w:pPr>
              <w:pStyle w:val="Normalny1"/>
              <w:keepNext/>
              <w:keepLines/>
              <w:spacing w:before="120" w:after="120" w:line="276" w:lineRule="auto"/>
              <w:rPr>
                <w:rFonts w:asciiTheme="majorHAnsi" w:eastAsia="Lato" w:hAnsiTheme="majorHAnsi" w:cstheme="majorHAnsi"/>
                <w:b/>
                <w:color w:val="FF0000"/>
              </w:rPr>
            </w:pPr>
            <w:r w:rsidRPr="00C05790">
              <w:rPr>
                <w:rFonts w:asciiTheme="majorHAnsi" w:eastAsia="Lato" w:hAnsiTheme="majorHAnsi" w:cstheme="majorHAnsi"/>
                <w:b/>
              </w:rPr>
              <w:t>Poszczególne efekty uczenia się w zestawach</w:t>
            </w:r>
          </w:p>
        </w:tc>
        <w:tc>
          <w:tcPr>
            <w:tcW w:w="2701" w:type="pct"/>
            <w:vAlign w:val="center"/>
          </w:tcPr>
          <w:p w:rsidR="00375441" w:rsidRPr="00427B65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tbl>
            <w:tblPr>
              <w:tblW w:w="6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2"/>
              <w:gridCol w:w="5313"/>
            </w:tblGrid>
            <w:tr w:rsidR="00375441" w:rsidRPr="00B50ECD" w:rsidTr="00C05790">
              <w:trPr>
                <w:trHeight w:val="770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Zestaw efektów uczenia się: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ajorHAnsi" w:eastAsia="Lato" w:hAnsiTheme="majorHAnsi" w:cstheme="majorHAnsi"/>
                    </w:rPr>
                  </w:pPr>
                  <w:r w:rsidRPr="00B50ECD">
                    <w:rPr>
                      <w:rFonts w:asciiTheme="majorHAnsi" w:eastAsia="Lato" w:hAnsiTheme="majorHAnsi" w:cstheme="majorHAnsi"/>
                    </w:rPr>
                    <w:t xml:space="preserve">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01. Opracowanie i doskonalenie/aktualizacja procedur postępowania z odpadami medycznymi w miejscu ich wytwarzania</w:t>
                  </w:r>
                </w:p>
              </w:tc>
            </w:tr>
            <w:tr w:rsidR="00375441" w:rsidRPr="00B50ECD" w:rsidTr="00C05790">
              <w:trPr>
                <w:trHeight w:val="49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Umiejętności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Kryteria weryfikacji</w:t>
                  </w:r>
                </w:p>
              </w:tc>
            </w:tr>
            <w:tr w:rsidR="00375441" w:rsidRPr="00B50ECD" w:rsidTr="00C05790">
              <w:trPr>
                <w:trHeight w:val="1561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keepNext/>
                    <w:keepLines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Posługuje się przepisami prawa w zakresie gospodarki odpadami medycznymi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keepNext/>
                    <w:keepLines/>
                    <w:widowControl w:val="0"/>
                    <w:numPr>
                      <w:ilvl w:val="0"/>
                      <w:numId w:val="8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aktualne przepisy dotyczące gospodarki odpadami medycznymi (w tym m.in. Ustawa o odpadach i obowiązujące akty wykonawcze);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8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aktualną klasyfikację odpadów medycznych;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</w:tc>
            </w:tr>
            <w:tr w:rsidR="00375441" w:rsidRPr="00B50ECD" w:rsidTr="00C05790">
              <w:trPr>
                <w:trHeight w:val="921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Identyfikuje źródła 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powstawania 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lastRenderedPageBreak/>
                    <w:t>i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 rodzaje odpadów medycznych w placówce 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lastRenderedPageBreak/>
                    <w:t xml:space="preserve">Wymienia potencjalne miejsca powstawania odpadów medycznych w poszczególnych jednostkach organizacyjnych 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placówki  (np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. poradnie, działy, oddziały, gabinety, laboratoria);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lastRenderedPageBreak/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charakterystyczne kategorie, grupy i rodzaje odpadów medycznych powstające w poszczególnych jednostkach organizacyjnych placówki (np. poradnie, działy, oddziały, gabinety, laboratoria);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lub SYMULACJA</w:t>
                  </w:r>
                </w:p>
              </w:tc>
            </w:tr>
            <w:tr w:rsidR="00375441" w:rsidRPr="00B50ECD" w:rsidTr="00C05790">
              <w:trPr>
                <w:trHeight w:val="3007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lastRenderedPageBreak/>
                    <w:t>Przygotowuje procedury postępowania z odpadami medycznymi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0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Charakteryzuje strukturę i elementy procedury ( m.in. cel, zakres, podstawa prawna, definicje, podpisy, instrukcje postępowania w miejscu powstawania);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0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>Opisuje elementy gospodarki odpadami medycznymi w placówce (m.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in.  gromadzenie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w miejscu wytworzenia, transport wewnętrzny, magazynowanie);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0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Na podstawie charakterystyki jednostki organizacyjnej placówki medycznej przygotowuje fragmenty procedury postępowania z odpadami medycznymi (np.: instrukcje postępowania w miejscu wytwarzania, definicje, zakres, transport wewnętrzny, magazynowanie);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SYMULACJA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</w:tc>
            </w:tr>
            <w:tr w:rsidR="00375441" w:rsidRPr="00B50ECD" w:rsidTr="00C05790">
              <w:trPr>
                <w:trHeight w:val="1964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Aktualizuje procedury postępowania z odpadami medycznymi 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1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>Wymienia kryteria i sytuacje, w których podejmuje decyzję o konieczności aktualizacji procedur (np. zmiany obowiązującego prawa, zmiany organizacyjne w placówce, zmiany wytycznych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);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PISEMNY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sposób aktualizacji procedury;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C05790">
                  <w:pPr>
                    <w:pStyle w:val="Normalny1"/>
                    <w:widowControl w:val="0"/>
                    <w:spacing w:before="120" w:after="120" w:line="276" w:lineRule="auto"/>
                    <w:ind w:left="720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</w:tc>
            </w:tr>
            <w:tr w:rsidR="00375441" w:rsidRPr="00B50ECD" w:rsidTr="00C05790">
              <w:trPr>
                <w:trHeight w:val="755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Zestaw efektów uczenia się: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</w:rPr>
                  </w:pPr>
                  <w:r w:rsidRPr="00B50ECD">
                    <w:rPr>
                      <w:rFonts w:asciiTheme="majorHAnsi" w:eastAsia="Lato" w:hAnsiTheme="majorHAnsi" w:cstheme="majorHAnsi"/>
                    </w:rPr>
                    <w:t xml:space="preserve">02.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Organizowanie gromadzenia odpadów medycznych w miejscu wytwarzania</w:t>
                  </w:r>
                </w:p>
              </w:tc>
            </w:tr>
            <w:tr w:rsidR="00375441" w:rsidRPr="00B50ECD" w:rsidTr="00C05790">
              <w:trPr>
                <w:trHeight w:val="49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lastRenderedPageBreak/>
                    <w:t>Umiejętności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Kryteria weryfikacji</w:t>
                  </w:r>
                </w:p>
              </w:tc>
            </w:tr>
            <w:tr w:rsidR="00375441" w:rsidRPr="00B50ECD" w:rsidTr="00C05790">
              <w:trPr>
                <w:trHeight w:val="1329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Prowadzi selektywną zbiórkę odpadów medycznych w miejscu wytwarzania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2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Klasyfikuje wytwarzane odpady medyczne według obowiązujących przepisów;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2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Dobiera pojemniki i worki dostosowane do poszczególnych rodzajów odpadów medycznych zgodnie z obowiązującymi przepisami;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2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Określa czas przechowywania dla poszczególnych rodzajów odpadów w miejscu powstawania zgodnie z obowiązującymi przepisami;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lub SYMULACJA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2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Określa sposób oznaczania pojemników i worków w miejscu powstawania zgodnie z obowiązującymi przepisami;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</w:tc>
            </w:tr>
            <w:tr w:rsidR="00375441" w:rsidRPr="00B50ECD" w:rsidTr="00C05790">
              <w:trPr>
                <w:trHeight w:val="247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Organizuje transport wewnętrzny i magazynowanie odpadów medycznych w miejscu wytwarzania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Określa środki transportu wewnętrznego i pojemniki do transportu wewnętrznego;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3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Określa dopuszczalne techniki wstępnego magazynowania odpadów medycznych;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3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Określa czas i temperaturę wstępnego magazynowania odpadów medycznych;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C05790">
                  <w:pPr>
                    <w:pStyle w:val="Normalny1"/>
                    <w:widowControl w:val="0"/>
                    <w:spacing w:before="120" w:after="120" w:line="276" w:lineRule="auto"/>
                    <w:ind w:left="720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</w:tc>
            </w:tr>
            <w:tr w:rsidR="00375441" w:rsidRPr="00B50ECD" w:rsidTr="00C05790">
              <w:trPr>
                <w:trHeight w:val="770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Zestaw efektów uczenia się: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03. Ewidencjonowanie odpadów medycznych i przygotowanie sprawozdań</w:t>
                  </w:r>
                </w:p>
              </w:tc>
            </w:tr>
            <w:tr w:rsidR="00375441" w:rsidRPr="00B50ECD" w:rsidTr="00C05790">
              <w:trPr>
                <w:trHeight w:val="49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lastRenderedPageBreak/>
                    <w:t>Umiejętności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Kryteria weryfikacji</w:t>
                  </w:r>
                </w:p>
              </w:tc>
            </w:tr>
            <w:tr w:rsidR="00375441" w:rsidRPr="00B50ECD" w:rsidTr="00C05790">
              <w:trPr>
                <w:trHeight w:val="3687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Prowadzenie ewidencji odpadów medycznych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4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obowiązki w zakresie ewidencji odpadów medycznych wynikające z obowiązujących przepisów;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wzory dokumentów ewidencji odpadów medycznych zgodne z obowiązującymi przepisami (np. karty przekazania odpadów, karty ewidencji odpadów i dokumenty potwierdzające unieszkodliwienie zakaźnych odpadów medycznych);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C05790">
                  <w:pPr>
                    <w:pStyle w:val="Normalny1"/>
                    <w:widowControl w:val="0"/>
                    <w:spacing w:before="120" w:after="120" w:line="276" w:lineRule="auto"/>
                    <w:ind w:left="720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zasady ewidencji ilościowej i jakościowej (np. zasady numeracji, dokładność pomiaru wg kategorii odpadów medycznych, terminowość, podpisy, podmioty wystawiające dokumenty);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C05790">
                  <w:pPr>
                    <w:pStyle w:val="Normalny1"/>
                    <w:widowControl w:val="0"/>
                    <w:spacing w:before="120" w:after="120" w:line="276" w:lineRule="auto"/>
                    <w:ind w:left="720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4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Wypełnia formularze do ewidencji odpadów medycznych zgodnie z obowiązującymi przepisami;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SYMULACJA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4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zasady archiwizowania dokumentów dotyczących ewidencji 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odpadów  medycznych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4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Analizuje spójność ewidencji odpadów medycznych (np. karty przekazania odpadów, karty ewidencji odpadów i dokumenty potwierdzające unieszkodliwienie zakaźnych odpadów medycznych);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lub SYMULACJA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4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>Sprawdza</w:t>
                  </w:r>
                  <w:r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zgodność ewidencji odpadów medycznych z innymi dokumentami (np. z fakturami, decyzjami administracyjnymi 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lastRenderedPageBreak/>
                    <w:t>dotyczącymi przetwarzania odpadów medycznych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);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PISEMNY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  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4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CE4EC1">
                    <w:rPr>
                      <w:rFonts w:asciiTheme="majorHAnsi" w:eastAsia="Arial Narrow" w:hAnsiTheme="majorHAnsi" w:cstheme="majorHAnsi"/>
                    </w:rPr>
                    <w:t xml:space="preserve">Omawia zawartość instrukcji obiegu dokumentów (m.in. cel, zakres, podstawa prawna, definicje, podpisy, wzory dokumentów, ścieżki przepływu dokumentów);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B50ECD">
                    <w:rPr>
                      <w:rFonts w:asciiTheme="majorHAnsi" w:eastAsia="Arial Narrow" w:hAnsiTheme="majorHAnsi" w:cstheme="majorHAnsi"/>
                      <w:color w:val="008080"/>
                    </w:rPr>
                    <w:t xml:space="preserve"> </w:t>
                  </w:r>
                </w:p>
              </w:tc>
            </w:tr>
            <w:tr w:rsidR="00375441" w:rsidRPr="00B50ECD" w:rsidTr="00C05790">
              <w:trPr>
                <w:trHeight w:val="1692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lastRenderedPageBreak/>
                    <w:t xml:space="preserve">Przygotowywanie sprawozdań dla organów zewnętrznych 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5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Wskazuje wzory dokumentów zgodne z obowiązującymi przepisami;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5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Wypełnia dokumentację sprawozdawczą zgodnie z obowiązującymi przepisami na podstawie wzoru sprawozdania i danych o ilościach i rodzajach odpadów medycznych wytworzonych w ciągu roku w placówce;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SYMULACJA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 </w:t>
                  </w:r>
                </w:p>
              </w:tc>
            </w:tr>
            <w:tr w:rsidR="00375441" w:rsidRPr="00B50ECD" w:rsidTr="00C05790">
              <w:trPr>
                <w:trHeight w:val="770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Zestaw efektów uczenia się: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</w:rPr>
                  </w:pPr>
                  <w:r w:rsidRPr="00B50ECD">
                    <w:rPr>
                      <w:rFonts w:asciiTheme="majorHAnsi" w:eastAsia="Lato" w:hAnsiTheme="majorHAnsi" w:cstheme="majorHAnsi"/>
                    </w:rPr>
                    <w:t xml:space="preserve">04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Przygotowanie odbioru odpadów medycznych z placówki</w:t>
                  </w:r>
                </w:p>
              </w:tc>
            </w:tr>
            <w:tr w:rsidR="00375441" w:rsidRPr="00B50ECD" w:rsidTr="00C05790">
              <w:trPr>
                <w:trHeight w:val="49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Umiejętności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Kryteria weryfikacji</w:t>
                  </w:r>
                </w:p>
              </w:tc>
            </w:tr>
            <w:tr w:rsidR="00375441" w:rsidRPr="00B50ECD" w:rsidTr="00C05790">
              <w:trPr>
                <w:trHeight w:val="2085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lastRenderedPageBreak/>
                    <w:t>Określa potrzeby placówki w zakresie odbioru odpadów medycznych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6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Analizuje rodzaje i ilości powstających w placówce odpadów medycznych (np. karty ewidencji odpadów, sprawozdania okresowe do organów zewnętrznych);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lub SYMULACJA</w:t>
                  </w:r>
                </w:p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Dobiera częstotliwość odbioru 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i  sposoby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unieszkodliwiania do rodzajów odpadów medycznych wytwarzanych przez placówkę;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C05790">
                  <w:pPr>
                    <w:pStyle w:val="Normalny1"/>
                    <w:widowControl w:val="0"/>
                    <w:spacing w:before="120" w:after="120" w:line="276" w:lineRule="auto"/>
                    <w:ind w:left="720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</w:tc>
            </w:tr>
            <w:tr w:rsidR="00375441" w:rsidRPr="00B50ECD" w:rsidTr="00C05790">
              <w:trPr>
                <w:trHeight w:val="247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Określa wymagania w stosunku do odbiorcy odpadów medycznych z placówki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keepNext/>
                    <w:keepLines/>
                    <w:widowControl w:val="0"/>
                    <w:numPr>
                      <w:ilvl w:val="0"/>
                      <w:numId w:val="17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wymogi formalne stawiane wobec podmiotu transportującego 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i  przetwarzającego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odpady medyczne w zależności od kategorii, rodzaju i grupy odpadów medycznych;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lub SYMULACJA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B50ECD" w:rsidRDefault="00375441" w:rsidP="00507251">
                  <w:pPr>
                    <w:pStyle w:val="Normalny1"/>
                    <w:keepNext/>
                    <w:keepLines/>
                    <w:widowControl w:val="0"/>
                    <w:numPr>
                      <w:ilvl w:val="0"/>
                      <w:numId w:val="17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Formułuje wymogi organizacyjne i 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formalne  wobec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podmiotu transportującego i  przetwarzającego odpady medyczne niezbędne do przygotowania opisu  zamówienia w SIWZ i umowy na odbiór odpadów (np. karty ewidencji odpadów, sprawozdania okresowe do organów zewnętrznych, krótkiej charakterystyki działania placówki);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lub SYMULACJA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  </w:t>
                  </w:r>
                </w:p>
              </w:tc>
            </w:tr>
            <w:tr w:rsidR="00375441" w:rsidRPr="00B50ECD" w:rsidTr="00C05790">
              <w:trPr>
                <w:trHeight w:val="2236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keepNext/>
                    <w:keepLines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lastRenderedPageBreak/>
                    <w:t xml:space="preserve">Nadzoruje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br/>
                    <w:t>realizację umowy z podmiotem odbierającym odpady medyczne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keepNext/>
                    <w:keepLines/>
                    <w:widowControl w:val="0"/>
                    <w:numPr>
                      <w:ilvl w:val="0"/>
                      <w:numId w:val="18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Analizuje spójność dokumentów potwierdzających odbiór i unieszkodliwienie zakaźnych odpadów medycznych;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 lub SYMULACJA</w:t>
                  </w:r>
                </w:p>
                <w:p w:rsidR="00375441" w:rsidRPr="00B50ECD" w:rsidRDefault="00375441" w:rsidP="00507251">
                  <w:pPr>
                    <w:pStyle w:val="Normalny1"/>
                    <w:keepNext/>
                    <w:keepLines/>
                    <w:widowControl w:val="0"/>
                    <w:numPr>
                      <w:ilvl w:val="0"/>
                      <w:numId w:val="18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Analizuje spójność dokumentów potwierdzających odbiór i unieszkodliwienie zakaźnych odpadów medycznych z zapisami umowy z podmiotem (np. ilości, terminy, ważność decyzji administracyjnych dotyczących przetwarzania odpadów medycznych);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lub SYMULACJA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 </w:t>
                  </w:r>
                </w:p>
              </w:tc>
            </w:tr>
            <w:tr w:rsidR="00375441" w:rsidRPr="00B50ECD" w:rsidTr="00C05790">
              <w:trPr>
                <w:trHeight w:val="755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Zestaw efektów uczenia się: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Lato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05. Udzielanie informacji na temat gospodarki odpadami medycznymi w czasie kontroli instytucji zewnętrznych</w:t>
                  </w:r>
                </w:p>
              </w:tc>
            </w:tr>
            <w:tr w:rsidR="00375441" w:rsidRPr="00B50ECD" w:rsidTr="00C05790">
              <w:trPr>
                <w:trHeight w:val="49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Umiejętności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Kryteria weryfikacji</w:t>
                  </w:r>
                </w:p>
              </w:tc>
            </w:tr>
            <w:tr w:rsidR="00375441" w:rsidRPr="00B50ECD" w:rsidTr="00C05790">
              <w:trPr>
                <w:trHeight w:val="1284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Wybiera dokumentację przeznaczoną do kontroli 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Wymienia kategorie i zakres dokumentów, które kontrolowany podmiot powinien przygotować na użytek zespołu kontrolującego;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1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</w:tc>
            </w:tr>
            <w:tr w:rsidR="00375441" w:rsidRPr="00B50ECD" w:rsidTr="00C05790">
              <w:trPr>
                <w:trHeight w:val="1586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Charakteryzuje procedurę kontroli zewnętrznej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7E3729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9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Wymienia organy uprawnione do przeprowadzania kontroli w zakresie gospodarki odpadami medycznymi;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210AE7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lub </w:t>
                  </w:r>
                  <w:r w:rsidRPr="007E3729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C05790">
                  <w:pPr>
                    <w:pStyle w:val="Normalny1"/>
                    <w:widowControl w:val="0"/>
                    <w:spacing w:before="120" w:after="120" w:line="276" w:lineRule="auto"/>
                    <w:ind w:left="720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20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przebieg kontroli w zakresie gospodarki odpadami medycznymi;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20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zasady sporządzania protokołu kontroli;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</w:tc>
            </w:tr>
            <w:tr w:rsidR="00375441" w:rsidRPr="00B50ECD" w:rsidTr="00C05790">
              <w:trPr>
                <w:trHeight w:val="1027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>
                    <w:rPr>
                      <w:rFonts w:asciiTheme="majorHAnsi" w:eastAsia="Lato" w:hAnsiTheme="majorHAnsi" w:cstheme="majorHAnsi"/>
                      <w:b/>
                    </w:rPr>
                    <w:lastRenderedPageBreak/>
                    <w:t xml:space="preserve">   </w:t>
                  </w: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Zestaw efektów uczenia się: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Lato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06. Prowadzenie kontroli wewnętrznej w zakresie gospodarki odpadami medycznymi w placówce </w:t>
                  </w:r>
                </w:p>
              </w:tc>
            </w:tr>
            <w:tr w:rsidR="00375441" w:rsidRPr="00B50ECD" w:rsidTr="00C05790">
              <w:trPr>
                <w:trHeight w:val="49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Umiejętności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Kryteria weryfikacji</w:t>
                  </w:r>
                </w:p>
              </w:tc>
            </w:tr>
            <w:tr w:rsidR="00375441" w:rsidRPr="00B50ECD" w:rsidTr="00C05790">
              <w:trPr>
                <w:trHeight w:val="3732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Opracowuje metody i narzędzia kontroli 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21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Omawia cele i przyczyny przeprowadzania okresowych kontroli wewnętrznych w obszarze gospodarki odpadami medycznymi;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D8500D" w:rsidRDefault="00375441" w:rsidP="00507251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>Omawia zakres kontroli wewnętrznej w obszarze gospodarki odpadami medycznymi (w odniesieniu do obowiązujących przepisów prawa i obowiązujących w placówce procedur);</w:t>
                  </w:r>
                  <w:r>
                    <w:t xml:space="preserve"> </w:t>
                  </w:r>
                  <w:r w:rsidRPr="00D8500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 lub EGZAMIN USTNY</w:t>
                  </w:r>
                </w:p>
                <w:p w:rsidR="00375441" w:rsidRPr="00B50ECD" w:rsidRDefault="00375441" w:rsidP="00C05790">
                  <w:pPr>
                    <w:pStyle w:val="Normalny1"/>
                    <w:widowControl w:val="0"/>
                    <w:spacing w:before="120" w:after="120" w:line="276" w:lineRule="auto"/>
                    <w:ind w:left="720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21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>Omawia narzędzia kontroli na podstawie fragmentów procedury ewidencji dokumentów obiegu odpadów medycznych i/lub procedury postępowania z odpadami medycznymi (np. ustrukturyzowane wywiady z pracownikami, lista kontrolna, sposób realizacji wizji lokalnej);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TEST PISEMNY lub SYMULACJA</w:t>
                  </w:r>
                </w:p>
              </w:tc>
            </w:tr>
            <w:tr w:rsidR="00375441" w:rsidRPr="00B50ECD" w:rsidTr="00C05790">
              <w:trPr>
                <w:trHeight w:val="1692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Przeprowadza kontrolę wewnętrzną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22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Na podstawie otrzymanych od komisji narzędzi kontroli oraz materiałów audiowizualnych (np. zdjęcia i fragmenty filmów z miejsc wytwarzania i magazynowania oraz środków transportu wewnętrznego) przeprowadza kontrolę wewnętrzną, wypełnia otrzymane dokumenty i sporządza protokół pokontrolny w zakresie przeprowadzonej kontroli;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TEST PISEMNY lub</w:t>
                  </w:r>
                  <w:r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SYMULACJA </w:t>
                  </w:r>
                </w:p>
              </w:tc>
            </w:tr>
            <w:tr w:rsidR="00375441" w:rsidRPr="00B50ECD" w:rsidTr="00C05790">
              <w:trPr>
                <w:trHeight w:val="770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Lato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07. Organizowanie szkoleń w zakresie gospodarki odpadami medycznymi</w:t>
                  </w:r>
                </w:p>
              </w:tc>
            </w:tr>
            <w:tr w:rsidR="00375441" w:rsidRPr="00B50ECD" w:rsidTr="00C05790">
              <w:trPr>
                <w:trHeight w:val="498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Umiejętności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375441" w:rsidRPr="00B50ECD" w:rsidRDefault="00375441" w:rsidP="00AD354E">
                  <w:pPr>
                    <w:pStyle w:val="Normalny1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Kryteria weryfikacji</w:t>
                  </w:r>
                </w:p>
              </w:tc>
            </w:tr>
            <w:tr w:rsidR="00375441" w:rsidRPr="00B50ECD" w:rsidTr="00C05790">
              <w:trPr>
                <w:trHeight w:val="392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Arial Narrow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Lato" w:hAnsiTheme="majorHAnsi" w:cstheme="majorHAnsi"/>
                      <w:b/>
                    </w:rPr>
                    <w:t>Identyfikuje potrzeby szkoleniowe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23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Określa częstotliwość prowadzenia szkoleń;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</w:p>
                <w:p w:rsidR="00375441" w:rsidRPr="00B50ECD" w:rsidRDefault="00375441" w:rsidP="00507251">
                  <w:pPr>
                    <w:pStyle w:val="Normalny1"/>
                    <w:widowControl w:val="0"/>
                    <w:numPr>
                      <w:ilvl w:val="0"/>
                      <w:numId w:val="23"/>
                    </w:numPr>
                    <w:spacing w:before="120" w:after="120" w:line="276" w:lineRule="auto"/>
                    <w:contextualSpacing/>
                    <w:rPr>
                      <w:rFonts w:asciiTheme="majorHAnsi" w:eastAsia="Arial Narrow" w:hAnsiTheme="majorHAnsi" w:cstheme="majorHAnsi"/>
                    </w:rPr>
                  </w:pP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Określa  kryteria</w:t>
                  </w:r>
                  <w:proofErr w:type="gramEnd"/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 według których podejmuje decyzje o realizacji szkoleń (np. zmiany prawa, wyniki kontroli, aktualizacja procedur, zatrudnienie nowych pracowników);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 PISEMNY</w:t>
                  </w:r>
                </w:p>
              </w:tc>
            </w:tr>
            <w:tr w:rsidR="00375441" w:rsidRPr="00B50ECD" w:rsidTr="00C05790">
              <w:trPr>
                <w:trHeight w:val="1662"/>
              </w:trPr>
              <w:tc>
                <w:tcPr>
                  <w:tcW w:w="1662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AD354E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ajorHAnsi" w:eastAsia="Lato" w:hAnsiTheme="majorHAnsi" w:cstheme="majorHAnsi"/>
                      <w:b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 xml:space="preserve">Organizuje szkolenie z gospodarki odpadami medycznymi </w:t>
                  </w:r>
                </w:p>
              </w:tc>
              <w:tc>
                <w:tcPr>
                  <w:tcW w:w="5313" w:type="dxa"/>
                  <w:tcBorders>
                    <w:bottom w:val="single" w:sz="4" w:space="0" w:color="000000"/>
                  </w:tcBorders>
                </w:tcPr>
                <w:p w:rsidR="00375441" w:rsidRPr="00B50ECD" w:rsidRDefault="00375441" w:rsidP="00507251">
                  <w:pPr>
                    <w:pStyle w:val="Normalny1"/>
                    <w:numPr>
                      <w:ilvl w:val="0"/>
                      <w:numId w:val="23"/>
                    </w:numPr>
                    <w:spacing w:before="120" w:after="120" w:line="276" w:lineRule="auto"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>Przygotowuje plan szkolenia dla grupy pracowników (np. personel medyczny, pracownicy magazynu, pracownicy podmiotów zewnętrznych</w:t>
                  </w:r>
                  <w:proofErr w:type="gramStart"/>
                  <w:r w:rsidRPr="00B50ECD">
                    <w:rPr>
                      <w:rFonts w:asciiTheme="majorHAnsi" w:eastAsia="Arial Narrow" w:hAnsiTheme="majorHAnsi" w:cstheme="majorHAnsi"/>
                    </w:rPr>
                    <w:t>);</w:t>
                  </w:r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TEST</w:t>
                  </w:r>
                  <w:proofErr w:type="gramEnd"/>
                  <w:r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 xml:space="preserve"> PISEMNY lub SYMULACJA</w:t>
                  </w:r>
                </w:p>
                <w:p w:rsidR="00375441" w:rsidRPr="00B50ECD" w:rsidRDefault="00375441" w:rsidP="00507251">
                  <w:pPr>
                    <w:pStyle w:val="Normalny1"/>
                    <w:numPr>
                      <w:ilvl w:val="0"/>
                      <w:numId w:val="23"/>
                    </w:numPr>
                    <w:spacing w:before="120" w:after="120" w:line="276" w:lineRule="auto"/>
                    <w:rPr>
                      <w:rFonts w:asciiTheme="majorHAnsi" w:eastAsia="Arial Narrow" w:hAnsiTheme="majorHAnsi" w:cstheme="majorHAnsi"/>
                    </w:rPr>
                  </w:pPr>
                  <w:r w:rsidRPr="00B50ECD">
                    <w:rPr>
                      <w:rFonts w:asciiTheme="majorHAnsi" w:eastAsia="Arial Narrow" w:hAnsiTheme="majorHAnsi" w:cstheme="majorHAnsi"/>
                    </w:rPr>
                    <w:t xml:space="preserve">Wymienia kryteria, którymi kieruje się wybierając wykładowców do prowadzenia szkoleń;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</w:rPr>
                    <w:t>TEST PISEMNY lub</w:t>
                  </w:r>
                  <w:r>
                    <w:rPr>
                      <w:rFonts w:asciiTheme="majorHAnsi" w:eastAsia="Arial Narrow" w:hAnsiTheme="majorHAnsi" w:cstheme="majorHAnsi"/>
                    </w:rPr>
                    <w:t xml:space="preserve"> </w:t>
                  </w:r>
                  <w:r w:rsidRPr="00B50ECD">
                    <w:rPr>
                      <w:rFonts w:asciiTheme="majorHAnsi" w:eastAsia="Arial Narrow" w:hAnsiTheme="majorHAnsi" w:cstheme="majorHAnsi"/>
                      <w:b/>
                      <w:color w:val="FF0000"/>
                    </w:rPr>
                    <w:t>EGZAMIN USTNY</w:t>
                  </w:r>
                </w:p>
              </w:tc>
            </w:tr>
          </w:tbl>
          <w:p w:rsidR="00375441" w:rsidRPr="002812FE" w:rsidRDefault="00375441" w:rsidP="002812FE">
            <w:pPr>
              <w:spacing w:before="120" w:after="120"/>
              <w:jc w:val="both"/>
              <w:rPr>
                <w:rFonts w:eastAsia="Lato"/>
                <w:b/>
              </w:rPr>
            </w:pPr>
          </w:p>
        </w:tc>
        <w:tc>
          <w:tcPr>
            <w:tcW w:w="2701" w:type="pct"/>
            <w:vAlign w:val="center"/>
          </w:tcPr>
          <w:p w:rsidR="00375441" w:rsidRPr="00427B65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2" w:type="pct"/>
            <w:vAlign w:val="center"/>
          </w:tcPr>
          <w:p w:rsidR="00375441" w:rsidRPr="00CC2082" w:rsidRDefault="00375441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:rsidR="00375441" w:rsidRPr="006755C1" w:rsidRDefault="00375441" w:rsidP="0067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Bezterminowo</w:t>
            </w:r>
          </w:p>
        </w:tc>
        <w:tc>
          <w:tcPr>
            <w:tcW w:w="2701" w:type="pct"/>
            <w:vAlign w:val="center"/>
          </w:tcPr>
          <w:p w:rsidR="00375441" w:rsidRPr="00BC0168" w:rsidRDefault="00375441" w:rsidP="008A58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pct"/>
            <w:vAlign w:val="center"/>
          </w:tcPr>
          <w:p w:rsidR="00375441" w:rsidRPr="00CC2082" w:rsidRDefault="00375441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:rsidR="00375441" w:rsidRPr="00C21CEE" w:rsidRDefault="00375441" w:rsidP="00C21CEE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t>C</w:t>
            </w:r>
            <w:r w:rsidRPr="00C21CEE">
              <w:rPr>
                <w:rFonts w:eastAsia="Lato"/>
              </w:rPr>
              <w:t>ertyfikat</w:t>
            </w:r>
          </w:p>
        </w:tc>
        <w:tc>
          <w:tcPr>
            <w:tcW w:w="2701" w:type="pct"/>
            <w:vAlign w:val="center"/>
          </w:tcPr>
          <w:p w:rsidR="00375441" w:rsidRPr="008B5531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pct"/>
            <w:vAlign w:val="center"/>
          </w:tcPr>
          <w:p w:rsidR="00375441" w:rsidRPr="00CC2082" w:rsidRDefault="00375441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:rsidR="00375441" w:rsidRPr="00C21CEE" w:rsidRDefault="00375441" w:rsidP="00C21CEE">
            <w:pPr>
              <w:spacing w:before="120" w:after="120"/>
              <w:rPr>
                <w:rFonts w:eastAsia="Lato"/>
              </w:rPr>
            </w:pPr>
            <w:r w:rsidRPr="00C21CEE">
              <w:rPr>
                <w:rFonts w:eastAsia="Lato"/>
              </w:rPr>
              <w:lastRenderedPageBreak/>
              <w:t>Nie dotyczy</w:t>
            </w:r>
          </w:p>
        </w:tc>
        <w:tc>
          <w:tcPr>
            <w:tcW w:w="2701" w:type="pct"/>
            <w:vAlign w:val="center"/>
          </w:tcPr>
          <w:p w:rsidR="00375441" w:rsidRPr="00BC0168" w:rsidRDefault="00375441" w:rsidP="008A58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2" w:type="pct"/>
            <w:vAlign w:val="center"/>
          </w:tcPr>
          <w:p w:rsidR="00375441" w:rsidRPr="00CC2082" w:rsidRDefault="00375441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:rsidR="00375441" w:rsidRDefault="00375441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</w:t>
            </w:r>
            <w:proofErr w:type="gramStart"/>
            <w:r w:rsidRPr="00CC2082">
              <w:rPr>
                <w:rFonts w:eastAsia="Lato"/>
                <w:i/>
              </w:rPr>
              <w:t>. 7). Kod</w:t>
            </w:r>
            <w:proofErr w:type="gramEnd"/>
            <w:r w:rsidRPr="00CC2082">
              <w:rPr>
                <w:rFonts w:eastAsia="Lato"/>
                <w:i/>
              </w:rPr>
              <w:t xml:space="preserve"> dziedziny kształcenia, o którym mowa w przepisach wydanych na podstawie art. 40 ust. 2 ustawy z dnia 29 czerwca 1995 r. o statystyce publicznej (Dz. U. </w:t>
            </w:r>
            <w:proofErr w:type="gramStart"/>
            <w:r w:rsidRPr="00CC2082">
              <w:rPr>
                <w:rFonts w:eastAsia="Lato"/>
                <w:i/>
              </w:rPr>
              <w:t>z</w:t>
            </w:r>
            <w:proofErr w:type="gramEnd"/>
            <w:r w:rsidRPr="00CC2082">
              <w:rPr>
                <w:rFonts w:eastAsia="Lato"/>
                <w:i/>
              </w:rPr>
              <w:t xml:space="preserve"> 2012 r. poz. 591, z </w:t>
            </w:r>
            <w:proofErr w:type="spellStart"/>
            <w:r w:rsidRPr="00CC2082">
              <w:rPr>
                <w:rFonts w:eastAsia="Lato"/>
                <w:i/>
              </w:rPr>
              <w:t>późn</w:t>
            </w:r>
            <w:proofErr w:type="spellEnd"/>
            <w:r w:rsidRPr="00CC2082">
              <w:rPr>
                <w:rFonts w:eastAsia="Lato"/>
                <w:i/>
              </w:rPr>
              <w:t xml:space="preserve">. </w:t>
            </w:r>
            <w:proofErr w:type="gramStart"/>
            <w:r w:rsidRPr="00CC2082">
              <w:rPr>
                <w:rFonts w:eastAsia="Lato"/>
                <w:i/>
              </w:rPr>
              <w:t>zm</w:t>
            </w:r>
            <w:proofErr w:type="gramEnd"/>
            <w:r w:rsidRPr="00CC2082">
              <w:rPr>
                <w:rFonts w:eastAsia="Lato"/>
                <w:i/>
              </w:rPr>
              <w:t>.).</w:t>
            </w:r>
          </w:p>
          <w:p w:rsidR="00375441" w:rsidRPr="00CC2082" w:rsidRDefault="00375441" w:rsidP="00C21CEE">
            <w:pPr>
              <w:spacing w:before="120" w:after="120"/>
              <w:rPr>
                <w:rFonts w:eastAsia="Lato"/>
                <w:b/>
              </w:rPr>
            </w:pPr>
            <w:r>
              <w:rPr>
                <w:rFonts w:eastAsia="Lato"/>
                <w:b/>
              </w:rPr>
              <w:t>85</w:t>
            </w:r>
          </w:p>
        </w:tc>
        <w:tc>
          <w:tcPr>
            <w:tcW w:w="2701" w:type="pct"/>
            <w:vAlign w:val="center"/>
          </w:tcPr>
          <w:p w:rsidR="00375441" w:rsidRPr="00650152" w:rsidRDefault="00375441" w:rsidP="008A5888">
            <w:pPr>
              <w:pStyle w:val="Akapitzlist"/>
              <w:spacing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c>
          <w:tcPr>
            <w:tcW w:w="87" w:type="pct"/>
            <w:vAlign w:val="center"/>
          </w:tcPr>
          <w:p w:rsidR="00375441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12" w:type="pct"/>
            <w:vAlign w:val="center"/>
          </w:tcPr>
          <w:p w:rsidR="00375441" w:rsidRPr="00CC2082" w:rsidRDefault="00375441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:rsidR="00375441" w:rsidRDefault="00375441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</w:t>
            </w:r>
            <w:proofErr w:type="gramStart"/>
            <w:r w:rsidRPr="00CC2082">
              <w:rPr>
                <w:rFonts w:eastAsia="Lato"/>
                <w:i/>
              </w:rPr>
              <w:t xml:space="preserve"> 7). Kod</w:t>
            </w:r>
            <w:proofErr w:type="gramEnd"/>
            <w:r w:rsidRPr="00CC2082">
              <w:rPr>
                <w:rFonts w:eastAsia="Lato"/>
                <w:i/>
              </w:rPr>
              <w:t xml:space="preserve"> Polskiej Klasyfikacji Działalności (PKD).</w:t>
            </w:r>
          </w:p>
          <w:p w:rsidR="00375441" w:rsidRPr="004E1564" w:rsidRDefault="00375441" w:rsidP="00C21CEE">
            <w:pPr>
              <w:spacing w:before="120" w:after="120"/>
              <w:rPr>
                <w:rFonts w:eastAsia="Lato"/>
              </w:rPr>
            </w:pPr>
            <w:r>
              <w:rPr>
                <w:rFonts w:ascii="Lato" w:hAnsi="Lato"/>
                <w:b/>
                <w:bCs/>
                <w:color w:val="000000"/>
              </w:rPr>
              <w:t>38.12.Z</w:t>
            </w:r>
          </w:p>
        </w:tc>
        <w:tc>
          <w:tcPr>
            <w:tcW w:w="2701" w:type="pct"/>
          </w:tcPr>
          <w:p w:rsidR="00375441" w:rsidRPr="008B5531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41" w:rsidRPr="00650152" w:rsidTr="00375441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375441" w:rsidRPr="00650152" w:rsidRDefault="00375441" w:rsidP="008A588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375441" w:rsidRPr="00650152" w:rsidTr="00375441">
        <w:trPr>
          <w:trHeight w:val="1019"/>
        </w:trPr>
        <w:tc>
          <w:tcPr>
            <w:tcW w:w="87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:rsidR="00375441" w:rsidRPr="00650152" w:rsidRDefault="00375441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pct"/>
            <w:vAlign w:val="center"/>
          </w:tcPr>
          <w:p w:rsidR="00375441" w:rsidRPr="00650152" w:rsidRDefault="00375441" w:rsidP="008A58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CE2" w:rsidRDefault="00B44CE2" w:rsidP="00B44CE2">
      <w:pPr>
        <w:spacing w:after="0" w:line="360" w:lineRule="auto"/>
        <w:jc w:val="center"/>
      </w:pPr>
    </w:p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07"/>
      </w:tblGrid>
      <w:tr w:rsidR="00D314CC" w:rsidTr="00416268">
        <w:tc>
          <w:tcPr>
            <w:tcW w:w="5000" w:type="pct"/>
          </w:tcPr>
          <w:p w:rsidR="001979CC" w:rsidRPr="000D0F97" w:rsidRDefault="001979CC" w:rsidP="000D0F97">
            <w:pPr>
              <w:spacing w:after="12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4567A" w:rsidRDefault="00E4567A" w:rsidP="00224E37">
      <w:pPr>
        <w:spacing w:before="240" w:after="240"/>
        <w:rPr>
          <w:b/>
          <w:sz w:val="28"/>
          <w:szCs w:val="28"/>
        </w:rPr>
      </w:pPr>
    </w:p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powyższych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16004"/>
      </w:tblGrid>
      <w:tr w:rsidR="00547C62" w:rsidTr="00416268">
        <w:tc>
          <w:tcPr>
            <w:tcW w:w="5000" w:type="pct"/>
          </w:tcPr>
          <w:p w:rsidR="00547C62" w:rsidRDefault="00416268" w:rsidP="00416268">
            <w:pPr>
              <w:spacing w:before="240" w:after="2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9058D6">
              <w:rPr>
                <w:b/>
                <w:sz w:val="20"/>
                <w:szCs w:val="20"/>
              </w:rPr>
              <w:lastRenderedPageBreak/>
              <w:t>Dalsza praca nad kwalifikacją jest u</w:t>
            </w:r>
            <w:r w:rsidR="00547C62" w:rsidRPr="009058D6">
              <w:rPr>
                <w:b/>
                <w:sz w:val="20"/>
                <w:szCs w:val="20"/>
              </w:rPr>
              <w:t>zasadniona</w:t>
            </w:r>
            <w:r w:rsidRPr="009058D6">
              <w:rPr>
                <w:b/>
                <w:sz w:val="20"/>
                <w:szCs w:val="20"/>
              </w:rPr>
              <w:t xml:space="preserve"> </w:t>
            </w:r>
            <w:r w:rsidR="00547C62" w:rsidRPr="009058D6">
              <w:rPr>
                <w:b/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4E381E" w:rsidRPr="004E381E" w:rsidRDefault="004E381E" w:rsidP="00507251">
            <w:pPr>
              <w:pStyle w:val="Akapitzlist"/>
              <w:numPr>
                <w:ilvl w:val="0"/>
                <w:numId w:val="4"/>
              </w:numPr>
              <w:spacing w:after="120"/>
              <w:rPr>
                <w:sz w:val="20"/>
                <w:szCs w:val="28"/>
              </w:rPr>
            </w:pPr>
          </w:p>
        </w:tc>
      </w:tr>
      <w:tr w:rsidR="00547C62" w:rsidTr="00416268">
        <w:tc>
          <w:tcPr>
            <w:tcW w:w="5000" w:type="pct"/>
          </w:tcPr>
          <w:p w:rsidR="00547C62" w:rsidRDefault="00416268" w:rsidP="00416268">
            <w:pPr>
              <w:spacing w:before="240" w:after="2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9058D6">
              <w:rPr>
                <w:b/>
                <w:sz w:val="20"/>
                <w:szCs w:val="20"/>
              </w:rPr>
              <w:t xml:space="preserve">Dalsza praca nad kwalifikacją jest nieuzasadniona </w:t>
            </w:r>
            <w:r w:rsidR="00547C62" w:rsidRPr="009058D6">
              <w:rPr>
                <w:b/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4E381E" w:rsidRDefault="004E381E" w:rsidP="004E381E">
            <w:pPr>
              <w:spacing w:after="0"/>
              <w:rPr>
                <w:sz w:val="20"/>
                <w:szCs w:val="20"/>
              </w:rPr>
            </w:pPr>
          </w:p>
          <w:p w:rsidR="004E381E" w:rsidRDefault="004E381E" w:rsidP="004E381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733ED1">
      <w:footerReference w:type="default" r:id="rId8"/>
      <w:pgSz w:w="16838" w:h="11906" w:orient="landscape"/>
      <w:pgMar w:top="1418" w:right="395" w:bottom="1418" w:left="426" w:header="1072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5B9CD" w16cid:durableId="1F042E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BE" w:rsidRDefault="00EA08BE" w:rsidP="009F72A9">
      <w:pPr>
        <w:spacing w:after="0" w:line="240" w:lineRule="auto"/>
      </w:pPr>
      <w:r>
        <w:separator/>
      </w:r>
    </w:p>
  </w:endnote>
  <w:endnote w:type="continuationSeparator" w:id="0">
    <w:p w:rsidR="00EA08BE" w:rsidRDefault="00EA08B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613478772"/>
      <w:docPartObj>
        <w:docPartGallery w:val="Page Numbers (Bottom of Page)"/>
        <w:docPartUnique/>
      </w:docPartObj>
    </w:sdtPr>
    <w:sdtEndPr/>
    <w:sdtContent>
      <w:p w:rsidR="00B672FE" w:rsidRPr="00E544F1" w:rsidRDefault="00B672FE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375441">
          <w:rPr>
            <w:noProof/>
            <w:sz w:val="16"/>
          </w:rPr>
          <w:t>20</w:t>
        </w:r>
        <w:r w:rsidRPr="00E544F1">
          <w:rPr>
            <w:sz w:val="16"/>
          </w:rPr>
          <w:fldChar w:fldCharType="end"/>
        </w:r>
      </w:p>
    </w:sdtContent>
  </w:sdt>
  <w:p w:rsidR="00B672FE" w:rsidRDefault="00B67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BE" w:rsidRDefault="00EA08BE" w:rsidP="009F72A9">
      <w:pPr>
        <w:spacing w:after="0" w:line="240" w:lineRule="auto"/>
      </w:pPr>
      <w:r>
        <w:separator/>
      </w:r>
    </w:p>
  </w:footnote>
  <w:footnote w:type="continuationSeparator" w:id="0">
    <w:p w:rsidR="00EA08BE" w:rsidRDefault="00EA08BE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B67"/>
    <w:multiLevelType w:val="hybridMultilevel"/>
    <w:tmpl w:val="7386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F3D"/>
    <w:multiLevelType w:val="multilevel"/>
    <w:tmpl w:val="3AECE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769F9"/>
    <w:multiLevelType w:val="multilevel"/>
    <w:tmpl w:val="813427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977CE9"/>
    <w:multiLevelType w:val="hybridMultilevel"/>
    <w:tmpl w:val="9278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990"/>
    <w:multiLevelType w:val="multilevel"/>
    <w:tmpl w:val="1AB60B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E42A9C"/>
    <w:multiLevelType w:val="multilevel"/>
    <w:tmpl w:val="BAD621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060911"/>
    <w:multiLevelType w:val="hybridMultilevel"/>
    <w:tmpl w:val="167E2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FA9"/>
    <w:multiLevelType w:val="multilevel"/>
    <w:tmpl w:val="B958F4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1C7B65"/>
    <w:multiLevelType w:val="multilevel"/>
    <w:tmpl w:val="2E9438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C65693"/>
    <w:multiLevelType w:val="multilevel"/>
    <w:tmpl w:val="FD0A28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D45299"/>
    <w:multiLevelType w:val="multilevel"/>
    <w:tmpl w:val="105E2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CB63B1"/>
    <w:multiLevelType w:val="hybridMultilevel"/>
    <w:tmpl w:val="DB12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285A"/>
    <w:multiLevelType w:val="multilevel"/>
    <w:tmpl w:val="66FC2B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F50F87"/>
    <w:multiLevelType w:val="multilevel"/>
    <w:tmpl w:val="C3AC41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44301D"/>
    <w:multiLevelType w:val="multilevel"/>
    <w:tmpl w:val="223E04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344A78"/>
    <w:multiLevelType w:val="multilevel"/>
    <w:tmpl w:val="515EFD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451FD1"/>
    <w:multiLevelType w:val="multilevel"/>
    <w:tmpl w:val="7ED2D7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762020"/>
    <w:multiLevelType w:val="hybridMultilevel"/>
    <w:tmpl w:val="A82A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3416"/>
    <w:multiLevelType w:val="multilevel"/>
    <w:tmpl w:val="3BB055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05646F"/>
    <w:multiLevelType w:val="multilevel"/>
    <w:tmpl w:val="8F0412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FA6125"/>
    <w:multiLevelType w:val="multilevel"/>
    <w:tmpl w:val="4D2264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CE7E44"/>
    <w:multiLevelType w:val="multilevel"/>
    <w:tmpl w:val="BB38CE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9E2CEF"/>
    <w:multiLevelType w:val="multilevel"/>
    <w:tmpl w:val="1C6E09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8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9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22"/>
  </w:num>
  <w:num w:numId="21">
    <w:abstractNumId w:val="13"/>
  </w:num>
  <w:num w:numId="22">
    <w:abstractNumId w:val="4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13F71"/>
    <w:rsid w:val="00022F94"/>
    <w:rsid w:val="0003369F"/>
    <w:rsid w:val="00045F7D"/>
    <w:rsid w:val="00055A8F"/>
    <w:rsid w:val="000622AD"/>
    <w:rsid w:val="0009289C"/>
    <w:rsid w:val="000B3648"/>
    <w:rsid w:val="000B3B7D"/>
    <w:rsid w:val="000C6F29"/>
    <w:rsid w:val="000D0392"/>
    <w:rsid w:val="000D0F97"/>
    <w:rsid w:val="000E2CD8"/>
    <w:rsid w:val="000E4702"/>
    <w:rsid w:val="00105B85"/>
    <w:rsid w:val="00107082"/>
    <w:rsid w:val="00111E65"/>
    <w:rsid w:val="001120DF"/>
    <w:rsid w:val="00115417"/>
    <w:rsid w:val="001260FA"/>
    <w:rsid w:val="001374FB"/>
    <w:rsid w:val="001377CD"/>
    <w:rsid w:val="00147C1F"/>
    <w:rsid w:val="00163C7C"/>
    <w:rsid w:val="00167AE1"/>
    <w:rsid w:val="001748A1"/>
    <w:rsid w:val="001765EF"/>
    <w:rsid w:val="0017672D"/>
    <w:rsid w:val="0019574B"/>
    <w:rsid w:val="001979CC"/>
    <w:rsid w:val="001A65B7"/>
    <w:rsid w:val="001B6E4B"/>
    <w:rsid w:val="001B7ED2"/>
    <w:rsid w:val="001C6B26"/>
    <w:rsid w:val="001C6EBD"/>
    <w:rsid w:val="001D6635"/>
    <w:rsid w:val="001E6392"/>
    <w:rsid w:val="00211274"/>
    <w:rsid w:val="00224E37"/>
    <w:rsid w:val="002375F9"/>
    <w:rsid w:val="00247F4B"/>
    <w:rsid w:val="002812FE"/>
    <w:rsid w:val="002817E9"/>
    <w:rsid w:val="00294DCA"/>
    <w:rsid w:val="00296A89"/>
    <w:rsid w:val="002A1E32"/>
    <w:rsid w:val="002A25A6"/>
    <w:rsid w:val="002A553F"/>
    <w:rsid w:val="002C651B"/>
    <w:rsid w:val="002C6A4B"/>
    <w:rsid w:val="002D1B19"/>
    <w:rsid w:val="002E1394"/>
    <w:rsid w:val="002E67C7"/>
    <w:rsid w:val="002F00B4"/>
    <w:rsid w:val="002F5A0E"/>
    <w:rsid w:val="00302802"/>
    <w:rsid w:val="00334418"/>
    <w:rsid w:val="00335556"/>
    <w:rsid w:val="00342B41"/>
    <w:rsid w:val="00346790"/>
    <w:rsid w:val="003578CF"/>
    <w:rsid w:val="00374767"/>
    <w:rsid w:val="00375441"/>
    <w:rsid w:val="003A284E"/>
    <w:rsid w:val="003B712C"/>
    <w:rsid w:val="003D23C4"/>
    <w:rsid w:val="003E0216"/>
    <w:rsid w:val="003E29C3"/>
    <w:rsid w:val="003F04CE"/>
    <w:rsid w:val="0040019F"/>
    <w:rsid w:val="00416268"/>
    <w:rsid w:val="00421F3B"/>
    <w:rsid w:val="00424F7D"/>
    <w:rsid w:val="004272D2"/>
    <w:rsid w:val="00427B65"/>
    <w:rsid w:val="00440E4B"/>
    <w:rsid w:val="00443856"/>
    <w:rsid w:val="00482A76"/>
    <w:rsid w:val="0049435E"/>
    <w:rsid w:val="00497DC3"/>
    <w:rsid w:val="004A2D37"/>
    <w:rsid w:val="004A4A4E"/>
    <w:rsid w:val="004A4CB6"/>
    <w:rsid w:val="004A7B36"/>
    <w:rsid w:val="004B06CA"/>
    <w:rsid w:val="004B3FEC"/>
    <w:rsid w:val="004D0CB3"/>
    <w:rsid w:val="004E1564"/>
    <w:rsid w:val="004E381E"/>
    <w:rsid w:val="004F254D"/>
    <w:rsid w:val="00507251"/>
    <w:rsid w:val="005105F8"/>
    <w:rsid w:val="00512C82"/>
    <w:rsid w:val="005255B2"/>
    <w:rsid w:val="00526DA6"/>
    <w:rsid w:val="005333E2"/>
    <w:rsid w:val="00537BAB"/>
    <w:rsid w:val="005467F9"/>
    <w:rsid w:val="00547C62"/>
    <w:rsid w:val="00555A24"/>
    <w:rsid w:val="00575726"/>
    <w:rsid w:val="00583380"/>
    <w:rsid w:val="005915FD"/>
    <w:rsid w:val="00593576"/>
    <w:rsid w:val="005A044D"/>
    <w:rsid w:val="005F1801"/>
    <w:rsid w:val="005F2E27"/>
    <w:rsid w:val="0062141E"/>
    <w:rsid w:val="0065378A"/>
    <w:rsid w:val="00653F88"/>
    <w:rsid w:val="00661B84"/>
    <w:rsid w:val="006755C1"/>
    <w:rsid w:val="006825A2"/>
    <w:rsid w:val="006878B1"/>
    <w:rsid w:val="006914ED"/>
    <w:rsid w:val="006933AC"/>
    <w:rsid w:val="00694831"/>
    <w:rsid w:val="006A4371"/>
    <w:rsid w:val="006C3170"/>
    <w:rsid w:val="006D7C06"/>
    <w:rsid w:val="006E7A06"/>
    <w:rsid w:val="006F21C0"/>
    <w:rsid w:val="006F4825"/>
    <w:rsid w:val="007007EC"/>
    <w:rsid w:val="007037AF"/>
    <w:rsid w:val="007079F3"/>
    <w:rsid w:val="0071298B"/>
    <w:rsid w:val="00723562"/>
    <w:rsid w:val="00724E73"/>
    <w:rsid w:val="007251AC"/>
    <w:rsid w:val="00732927"/>
    <w:rsid w:val="00733ED1"/>
    <w:rsid w:val="00741336"/>
    <w:rsid w:val="00753BDA"/>
    <w:rsid w:val="0076294D"/>
    <w:rsid w:val="0076587A"/>
    <w:rsid w:val="0077790D"/>
    <w:rsid w:val="00780A08"/>
    <w:rsid w:val="00782A08"/>
    <w:rsid w:val="007A2C2F"/>
    <w:rsid w:val="007A2F12"/>
    <w:rsid w:val="007B059F"/>
    <w:rsid w:val="007B5CA2"/>
    <w:rsid w:val="007C49F7"/>
    <w:rsid w:val="007D0A0C"/>
    <w:rsid w:val="007D7E55"/>
    <w:rsid w:val="007E3666"/>
    <w:rsid w:val="007E55AE"/>
    <w:rsid w:val="007E79E3"/>
    <w:rsid w:val="007F5084"/>
    <w:rsid w:val="00826614"/>
    <w:rsid w:val="008328AE"/>
    <w:rsid w:val="00836E6F"/>
    <w:rsid w:val="00840F20"/>
    <w:rsid w:val="008426C8"/>
    <w:rsid w:val="00847971"/>
    <w:rsid w:val="008515EC"/>
    <w:rsid w:val="00851C71"/>
    <w:rsid w:val="00866BEE"/>
    <w:rsid w:val="00873894"/>
    <w:rsid w:val="00886BCA"/>
    <w:rsid w:val="0089732D"/>
    <w:rsid w:val="008975EE"/>
    <w:rsid w:val="008A0D14"/>
    <w:rsid w:val="008A5888"/>
    <w:rsid w:val="008A5D39"/>
    <w:rsid w:val="008B33F6"/>
    <w:rsid w:val="008B5531"/>
    <w:rsid w:val="008B5EBA"/>
    <w:rsid w:val="008C248D"/>
    <w:rsid w:val="008D49CC"/>
    <w:rsid w:val="008D7C81"/>
    <w:rsid w:val="008E5969"/>
    <w:rsid w:val="008F0025"/>
    <w:rsid w:val="008F094E"/>
    <w:rsid w:val="008F0B8E"/>
    <w:rsid w:val="00901F75"/>
    <w:rsid w:val="009058D6"/>
    <w:rsid w:val="00915FC2"/>
    <w:rsid w:val="00933B37"/>
    <w:rsid w:val="0093682B"/>
    <w:rsid w:val="00937ED0"/>
    <w:rsid w:val="00951A3C"/>
    <w:rsid w:val="00953CEE"/>
    <w:rsid w:val="00966617"/>
    <w:rsid w:val="0097576B"/>
    <w:rsid w:val="00983E67"/>
    <w:rsid w:val="00995579"/>
    <w:rsid w:val="009A00FA"/>
    <w:rsid w:val="009A314E"/>
    <w:rsid w:val="009B1183"/>
    <w:rsid w:val="009B1B8B"/>
    <w:rsid w:val="009B43F8"/>
    <w:rsid w:val="009F0D2E"/>
    <w:rsid w:val="009F72A9"/>
    <w:rsid w:val="00A033D6"/>
    <w:rsid w:val="00A0429B"/>
    <w:rsid w:val="00A05181"/>
    <w:rsid w:val="00A06B67"/>
    <w:rsid w:val="00A134CA"/>
    <w:rsid w:val="00A154A9"/>
    <w:rsid w:val="00A154B7"/>
    <w:rsid w:val="00A375DF"/>
    <w:rsid w:val="00A749B9"/>
    <w:rsid w:val="00A75B5D"/>
    <w:rsid w:val="00A77745"/>
    <w:rsid w:val="00A81482"/>
    <w:rsid w:val="00A931FD"/>
    <w:rsid w:val="00AB7337"/>
    <w:rsid w:val="00AC0C72"/>
    <w:rsid w:val="00AC4170"/>
    <w:rsid w:val="00AD354E"/>
    <w:rsid w:val="00AE01F1"/>
    <w:rsid w:val="00AE4E3F"/>
    <w:rsid w:val="00AF5A7A"/>
    <w:rsid w:val="00B02463"/>
    <w:rsid w:val="00B046D9"/>
    <w:rsid w:val="00B07E97"/>
    <w:rsid w:val="00B404C6"/>
    <w:rsid w:val="00B422E4"/>
    <w:rsid w:val="00B4364A"/>
    <w:rsid w:val="00B44CE2"/>
    <w:rsid w:val="00B550F4"/>
    <w:rsid w:val="00B64116"/>
    <w:rsid w:val="00B672FE"/>
    <w:rsid w:val="00B73C7B"/>
    <w:rsid w:val="00B86AB2"/>
    <w:rsid w:val="00B9516A"/>
    <w:rsid w:val="00BA7253"/>
    <w:rsid w:val="00BA783A"/>
    <w:rsid w:val="00BB3885"/>
    <w:rsid w:val="00BC0168"/>
    <w:rsid w:val="00BD523D"/>
    <w:rsid w:val="00C01770"/>
    <w:rsid w:val="00C05790"/>
    <w:rsid w:val="00C153C1"/>
    <w:rsid w:val="00C20DA5"/>
    <w:rsid w:val="00C219FB"/>
    <w:rsid w:val="00C21CEE"/>
    <w:rsid w:val="00C40413"/>
    <w:rsid w:val="00C447AE"/>
    <w:rsid w:val="00C9361B"/>
    <w:rsid w:val="00CB4D8E"/>
    <w:rsid w:val="00CD4C80"/>
    <w:rsid w:val="00CD6D8E"/>
    <w:rsid w:val="00D057C2"/>
    <w:rsid w:val="00D05E98"/>
    <w:rsid w:val="00D12E26"/>
    <w:rsid w:val="00D16655"/>
    <w:rsid w:val="00D243DB"/>
    <w:rsid w:val="00D314CC"/>
    <w:rsid w:val="00D34408"/>
    <w:rsid w:val="00D405A0"/>
    <w:rsid w:val="00D43ED7"/>
    <w:rsid w:val="00D5364B"/>
    <w:rsid w:val="00D54147"/>
    <w:rsid w:val="00D740AF"/>
    <w:rsid w:val="00D83281"/>
    <w:rsid w:val="00D8570B"/>
    <w:rsid w:val="00D9331B"/>
    <w:rsid w:val="00D9692C"/>
    <w:rsid w:val="00DA26CA"/>
    <w:rsid w:val="00DD455B"/>
    <w:rsid w:val="00DE70B8"/>
    <w:rsid w:val="00DF18CE"/>
    <w:rsid w:val="00DF2E99"/>
    <w:rsid w:val="00DF48FB"/>
    <w:rsid w:val="00DF64B6"/>
    <w:rsid w:val="00DF78D8"/>
    <w:rsid w:val="00E019D4"/>
    <w:rsid w:val="00E257F4"/>
    <w:rsid w:val="00E42A6B"/>
    <w:rsid w:val="00E42B63"/>
    <w:rsid w:val="00E4567A"/>
    <w:rsid w:val="00E544F1"/>
    <w:rsid w:val="00E64031"/>
    <w:rsid w:val="00E643BA"/>
    <w:rsid w:val="00E729A4"/>
    <w:rsid w:val="00E7379D"/>
    <w:rsid w:val="00E84A5A"/>
    <w:rsid w:val="00E90533"/>
    <w:rsid w:val="00E917BB"/>
    <w:rsid w:val="00E9321E"/>
    <w:rsid w:val="00E951B0"/>
    <w:rsid w:val="00E95CC4"/>
    <w:rsid w:val="00EA08BE"/>
    <w:rsid w:val="00EA0E10"/>
    <w:rsid w:val="00EA153F"/>
    <w:rsid w:val="00EA3452"/>
    <w:rsid w:val="00EA72FE"/>
    <w:rsid w:val="00EB63CB"/>
    <w:rsid w:val="00EC79CA"/>
    <w:rsid w:val="00ED120E"/>
    <w:rsid w:val="00EF075D"/>
    <w:rsid w:val="00F00DB6"/>
    <w:rsid w:val="00F15D9E"/>
    <w:rsid w:val="00F17CEC"/>
    <w:rsid w:val="00F17FA5"/>
    <w:rsid w:val="00F21BF0"/>
    <w:rsid w:val="00F408AB"/>
    <w:rsid w:val="00F5762E"/>
    <w:rsid w:val="00F70B26"/>
    <w:rsid w:val="00F70CE9"/>
    <w:rsid w:val="00F82830"/>
    <w:rsid w:val="00FC4C48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  <w:style w:type="paragraph" w:customStyle="1" w:styleId="Normalny1">
    <w:name w:val="Normalny1"/>
    <w:rsid w:val="008D49CC"/>
    <w:pPr>
      <w:spacing w:after="0" w:line="240" w:lineRule="auto"/>
    </w:pPr>
    <w:rPr>
      <w:rFonts w:ascii="Arial" w:eastAsia="Arial" w:hAnsi="Arial" w:cs="Arial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09289C"/>
    <w:rPr>
      <w:color w:val="0000FF" w:themeColor="hyperlink"/>
      <w:u w:val="single"/>
    </w:rPr>
  </w:style>
  <w:style w:type="character" w:customStyle="1" w:styleId="match">
    <w:name w:val="match"/>
    <w:basedOn w:val="Domylnaczcionkaakapitu"/>
    <w:rsid w:val="001979CC"/>
  </w:style>
  <w:style w:type="character" w:customStyle="1" w:styleId="highlight">
    <w:name w:val="highlight"/>
    <w:basedOn w:val="Domylnaczcionkaakapitu"/>
    <w:rsid w:val="0019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9B07-B5A9-4722-A9D6-DF08A839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3068</Words>
  <Characters>18411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Sobotka Monika</cp:lastModifiedBy>
  <cp:revision>9</cp:revision>
  <cp:lastPrinted>2018-07-27T06:01:00Z</cp:lastPrinted>
  <dcterms:created xsi:type="dcterms:W3CDTF">2019-07-08T07:08:00Z</dcterms:created>
  <dcterms:modified xsi:type="dcterms:W3CDTF">2019-07-16T09:59:00Z</dcterms:modified>
</cp:coreProperties>
</file>