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29BEF0D" w14:textId="77777777" w:rsidR="00CD1F0D" w:rsidRDefault="00000000">
      <w:pPr>
        <w:spacing w:after="120"/>
      </w:pPr>
      <w:r>
        <w:rPr>
          <w:sz w:val="22"/>
          <w:szCs w:val="22"/>
        </w:rPr>
        <w:t>Załącznik nr 5g do formularza zgłoszenia BCU do wsparcia</w:t>
      </w:r>
    </w:p>
    <w:p w14:paraId="7C857002" w14:textId="77777777" w:rsidR="00CD1F0D" w:rsidRPr="00346E4A" w:rsidRDefault="00000000" w:rsidP="00DE486D">
      <w:pPr>
        <w:pStyle w:val="Tytu"/>
        <w:spacing w:before="960" w:after="480"/>
        <w:rPr>
          <w:sz w:val="44"/>
          <w:szCs w:val="44"/>
        </w:rPr>
      </w:pPr>
      <w:r w:rsidRPr="00346E4A">
        <w:rPr>
          <w:sz w:val="44"/>
          <w:szCs w:val="44"/>
        </w:rPr>
        <w:t>WEWNĘTRZNY SYSTEM ZAPEWNIANIA JAKOŚCI</w:t>
      </w:r>
    </w:p>
    <w:p w14:paraId="3FFE9101" w14:textId="4BF0C48D" w:rsidR="00CD1F0D" w:rsidRPr="00346E4A" w:rsidRDefault="00000000">
      <w:pPr>
        <w:pBdr>
          <w:top w:val="nil"/>
          <w:left w:val="nil"/>
          <w:bottom w:val="nil"/>
          <w:right w:val="nil"/>
          <w:between w:val="nil"/>
        </w:pBdr>
        <w:spacing w:after="160"/>
        <w:jc w:val="center"/>
        <w:rPr>
          <w:color w:val="4F81BD"/>
          <w:sz w:val="40"/>
          <w:szCs w:val="40"/>
        </w:rPr>
      </w:pPr>
      <w:r w:rsidRPr="00346E4A">
        <w:rPr>
          <w:color w:val="4F81BD"/>
          <w:sz w:val="40"/>
          <w:szCs w:val="40"/>
        </w:rPr>
        <w:t>walidacji prowadzonych przez ………………………………..</w:t>
      </w:r>
    </w:p>
    <w:p w14:paraId="240D990C" w14:textId="00627B48" w:rsidR="00CD1F0D" w:rsidRPr="00DE486D" w:rsidRDefault="00000000" w:rsidP="00346E4A">
      <w:pPr>
        <w:pBdr>
          <w:top w:val="nil"/>
          <w:left w:val="nil"/>
          <w:bottom w:val="nil"/>
          <w:right w:val="nil"/>
          <w:between w:val="nil"/>
        </w:pBdr>
        <w:spacing w:after="160"/>
        <w:ind w:right="1275"/>
        <w:jc w:val="right"/>
        <w:rPr>
          <w:color w:val="1F497D" w:themeColor="text2"/>
          <w:sz w:val="22"/>
          <w:szCs w:val="22"/>
        </w:rPr>
      </w:pPr>
      <w:r w:rsidRPr="00DE486D">
        <w:rPr>
          <w:color w:val="1F497D" w:themeColor="text2"/>
          <w:sz w:val="22"/>
          <w:szCs w:val="22"/>
        </w:rPr>
        <w:t>(nazwa instytucji)</w:t>
      </w:r>
    </w:p>
    <w:p w14:paraId="38B5385A" w14:textId="77777777" w:rsidR="00CD1F0D" w:rsidRDefault="00CD1F0D">
      <w:pPr>
        <w:pBdr>
          <w:top w:val="nil"/>
          <w:left w:val="nil"/>
          <w:bottom w:val="nil"/>
          <w:right w:val="nil"/>
          <w:between w:val="nil"/>
        </w:pBdr>
        <w:spacing w:after="160"/>
        <w:jc w:val="center"/>
        <w:rPr>
          <w:rFonts w:ascii="Times New Roman" w:eastAsia="Times New Roman" w:hAnsi="Times New Roman" w:cs="Times New Roman"/>
          <w:color w:val="000000"/>
        </w:rPr>
      </w:pPr>
    </w:p>
    <w:p w14:paraId="746DF712" w14:textId="77777777" w:rsidR="00CD1F0D" w:rsidRDefault="00000000" w:rsidP="00DE486D">
      <w:pPr>
        <w:pBdr>
          <w:top w:val="nil"/>
          <w:left w:val="nil"/>
          <w:bottom w:val="nil"/>
          <w:right w:val="nil"/>
          <w:between w:val="nil"/>
        </w:pBdr>
        <w:spacing w:before="480" w:after="160"/>
        <w:rPr>
          <w:b/>
          <w:bCs/>
          <w:color w:val="000000"/>
        </w:rPr>
      </w:pPr>
      <w:r>
        <w:rPr>
          <w:b/>
          <w:bCs/>
          <w:color w:val="000000"/>
        </w:rPr>
        <w:t>Spis treści</w:t>
      </w:r>
    </w:p>
    <w:sdt>
      <w:sdtPr>
        <w:id w:val="998258892"/>
        <w:docPartObj>
          <w:docPartGallery w:val="Table of Contents"/>
          <w:docPartUnique/>
        </w:docPartObj>
      </w:sdtPr>
      <w:sdtContent>
        <w:p w14:paraId="231B3077" w14:textId="77777777" w:rsidR="00CD1F0D" w:rsidRPr="00DE486D" w:rsidRDefault="00000000" w:rsidP="00DE486D">
          <w:pPr>
            <w:widowControl w:val="0"/>
            <w:spacing w:before="240"/>
            <w:ind w:firstLine="0"/>
            <w:rPr>
              <w:color w:val="000000"/>
            </w:rPr>
          </w:pPr>
          <w:r w:rsidRPr="00DE486D">
            <w:fldChar w:fldCharType="begin"/>
          </w:r>
          <w:r w:rsidRPr="00DE486D">
            <w:instrText xml:space="preserve"> TOC \h \u \z \n \t "Heading 1,1,Heading 2,2,Heading 3,3,Heading 4,4,Heading 5,5,Heading 6,6,"</w:instrText>
          </w:r>
          <w:r w:rsidRPr="00DE486D">
            <w:fldChar w:fldCharType="separate"/>
          </w:r>
          <w:hyperlink w:anchor="_heading=">
            <w:r w:rsidRPr="00DE486D">
              <w:rPr>
                <w:color w:val="000000"/>
              </w:rPr>
              <w:t xml:space="preserve">1. Rozdzielność procesów szkolenia i walidacji </w:t>
            </w:r>
          </w:hyperlink>
        </w:p>
        <w:p w14:paraId="651F0884" w14:textId="77777777" w:rsidR="00CD1F0D" w:rsidRPr="00DE486D" w:rsidRDefault="00000000">
          <w:pPr>
            <w:widowControl w:val="0"/>
            <w:spacing w:before="60"/>
            <w:ind w:firstLine="0"/>
            <w:rPr>
              <w:color w:val="000000"/>
            </w:rPr>
          </w:pPr>
          <w:hyperlink w:anchor="_heading=">
            <w:r w:rsidRPr="00DE486D">
              <w:rPr>
                <w:color w:val="000000"/>
              </w:rPr>
              <w:t>2. Zapewnianie jakości walidacji i certyfikacji w wymiarze merytorycznym</w:t>
            </w:r>
          </w:hyperlink>
        </w:p>
        <w:p w14:paraId="72968E23" w14:textId="77777777" w:rsidR="00CD1F0D" w:rsidRPr="00DE486D" w:rsidRDefault="00000000">
          <w:pPr>
            <w:widowControl w:val="0"/>
            <w:spacing w:before="60"/>
            <w:ind w:firstLine="0"/>
            <w:rPr>
              <w:color w:val="000000"/>
            </w:rPr>
          </w:pPr>
          <w:hyperlink w:anchor="_heading=">
            <w:r w:rsidRPr="00DE486D">
              <w:rPr>
                <w:color w:val="000000"/>
              </w:rPr>
              <w:t>3. Monitorowanie walidacji i certyfikowania</w:t>
            </w:r>
          </w:hyperlink>
        </w:p>
        <w:p w14:paraId="14D7BAEC" w14:textId="77777777" w:rsidR="00CD1F0D" w:rsidRPr="00DE486D" w:rsidRDefault="00000000">
          <w:pPr>
            <w:widowControl w:val="0"/>
            <w:spacing w:before="60"/>
            <w:ind w:firstLine="0"/>
            <w:rPr>
              <w:color w:val="000000"/>
            </w:rPr>
          </w:pPr>
          <w:hyperlink w:anchor="_heading=">
            <w:r w:rsidRPr="00DE486D">
              <w:rPr>
                <w:color w:val="000000"/>
              </w:rPr>
              <w:t xml:space="preserve">4. Ewaluacja wewnętrzna </w:t>
            </w:r>
          </w:hyperlink>
        </w:p>
        <w:p w14:paraId="332A99EC" w14:textId="77777777" w:rsidR="00CD1F0D" w:rsidRPr="00DE486D" w:rsidRDefault="00000000">
          <w:pPr>
            <w:widowControl w:val="0"/>
            <w:spacing w:before="60"/>
            <w:ind w:firstLine="0"/>
            <w:rPr>
              <w:color w:val="000000"/>
            </w:rPr>
          </w:pPr>
          <w:hyperlink w:anchor="_heading=h.471oelgt74zj">
            <w:r w:rsidRPr="00DE486D">
              <w:rPr>
                <w:color w:val="000000"/>
              </w:rPr>
              <w:t>5. Spełnienie innych wymagań ustawowych</w:t>
            </w:r>
          </w:hyperlink>
        </w:p>
        <w:p w14:paraId="045FB054" w14:textId="77777777" w:rsidR="00CD1F0D" w:rsidRPr="00DE486D" w:rsidRDefault="00000000">
          <w:pPr>
            <w:widowControl w:val="0"/>
            <w:spacing w:before="60"/>
            <w:ind w:firstLine="0"/>
            <w:rPr>
              <w:color w:val="000000"/>
            </w:rPr>
          </w:pPr>
          <w:hyperlink w:anchor="_heading=">
            <w:r w:rsidRPr="00DE486D">
              <w:rPr>
                <w:color w:val="000000"/>
              </w:rPr>
              <w:t xml:space="preserve">6. Analiza ryzyk </w:t>
            </w:r>
          </w:hyperlink>
          <w:r w:rsidRPr="00DE486D">
            <w:fldChar w:fldCharType="end"/>
          </w:r>
        </w:p>
      </w:sdtContent>
    </w:sdt>
    <w:p w14:paraId="0499C55F" w14:textId="77777777" w:rsidR="00CD1F0D" w:rsidRDefault="00000000">
      <w:r>
        <w:br w:type="page"/>
      </w:r>
    </w:p>
    <w:p w14:paraId="1A357860" w14:textId="77777777" w:rsidR="00CD1F0D" w:rsidRPr="00DE486D" w:rsidRDefault="00000000">
      <w:pPr>
        <w:pStyle w:val="Nagwek1"/>
        <w:ind w:firstLine="0"/>
      </w:pPr>
      <w:r w:rsidRPr="00DE486D">
        <w:lastRenderedPageBreak/>
        <w:t>Wprowadzenie</w:t>
      </w:r>
    </w:p>
    <w:p w14:paraId="1057AA75" w14:textId="2EA3F36D" w:rsidR="00CD1F0D" w:rsidRPr="00DE486D" w:rsidRDefault="00000000">
      <w:pPr>
        <w:spacing w:after="160"/>
        <w:rPr>
          <w:sz w:val="22"/>
          <w:szCs w:val="22"/>
        </w:rPr>
      </w:pPr>
      <w:r w:rsidRPr="00DE486D">
        <w:rPr>
          <w:sz w:val="22"/>
          <w:szCs w:val="22"/>
        </w:rPr>
        <w:t>Opracowanie i stosowanie Wewnętrznego systemu zapewniania jakości jest obowiązkiem instytucji certyfikującej wynikającym z art. 63 ustawy o Zintegrowanym Systemie Kwalifikacji. Wewnętrzny system zapewniania jakości dotyczy zasad postępowania, procedur, metod oraz rozwiązań organizacyjnych służących zapewnianiu poprawności walidacji i certyfikowania oraz doskonaleniu walidacji i</w:t>
      </w:r>
      <w:r w:rsidR="00DE486D" w:rsidRPr="00DE486D">
        <w:rPr>
          <w:sz w:val="22"/>
          <w:szCs w:val="22"/>
        </w:rPr>
        <w:t> </w:t>
      </w:r>
      <w:r w:rsidRPr="00DE486D">
        <w:rPr>
          <w:sz w:val="22"/>
          <w:szCs w:val="22"/>
        </w:rPr>
        <w:t>certyfikowania. Poniżej znajdują się pytania pomocnicze do poszczególnych punktów oraz punkty dodatkowe, rekomendowane przez Instytut Badań Edukacyjnych - Państwowy Instytut Badawczy.</w:t>
      </w:r>
    </w:p>
    <w:p w14:paraId="0E330B18" w14:textId="77777777" w:rsidR="00CD1F0D" w:rsidRDefault="00000000">
      <w:pPr>
        <w:pStyle w:val="Nagwek1"/>
        <w:numPr>
          <w:ilvl w:val="0"/>
          <w:numId w:val="2"/>
        </w:numPr>
      </w:pPr>
      <w:r>
        <w:t>Rozdzielność procesów szkolenia i walidacji </w:t>
      </w:r>
    </w:p>
    <w:p w14:paraId="573D6139" w14:textId="77777777" w:rsidR="00CD1F0D" w:rsidRPr="00DE486D" w:rsidRDefault="00000000">
      <w:pPr>
        <w:spacing w:after="160"/>
        <w:rPr>
          <w:sz w:val="22"/>
          <w:szCs w:val="22"/>
        </w:rPr>
      </w:pPr>
      <w:r w:rsidRPr="00DE486D">
        <w:rPr>
          <w:sz w:val="22"/>
          <w:szCs w:val="22"/>
        </w:rPr>
        <w:t>Konieczność stosowania rozwiązań dot. rozdzielności szkolenia i walidacji wynika z art. 63 ust. 3 pkt. 1 ustawy o ZSK.</w:t>
      </w:r>
    </w:p>
    <w:p w14:paraId="68C7A8D0" w14:textId="7CF29473" w:rsidR="00CD1F0D" w:rsidRPr="00DE486D" w:rsidRDefault="00000000">
      <w:pPr>
        <w:spacing w:after="160"/>
        <w:rPr>
          <w:sz w:val="22"/>
          <w:szCs w:val="22"/>
        </w:rPr>
      </w:pPr>
      <w:r w:rsidRPr="00DE486D">
        <w:rPr>
          <w:sz w:val="22"/>
          <w:szCs w:val="22"/>
        </w:rPr>
        <w:t>Czy IC prowadzi też szkolenia? Jeśli tak – w jaki sposób zapewni rozdzielność tych procesów? Chodzi o</w:t>
      </w:r>
      <w:r w:rsidR="00DE486D">
        <w:rPr>
          <w:sz w:val="22"/>
          <w:szCs w:val="22"/>
        </w:rPr>
        <w:t> </w:t>
      </w:r>
      <w:r w:rsidRPr="00DE486D">
        <w:rPr>
          <w:sz w:val="22"/>
          <w:szCs w:val="22"/>
        </w:rPr>
        <w:t xml:space="preserve">rozdzielność osobową - tzn. osoba prowadząca szkolenie, nie powinna oceniać kompetencji osób, które szkoliła (w zakresie, którego dotyczyło szkolenie) oraz rozdzielność procesową - walidacja powinna być dostępna dla każdego, kto uzna, że jest gotowy podejść do walidacji efektów uczenia się, np. bez względu na to, czy weźmie udział w szkoleniu w danej IC czy nie (uwaga: specyficzna sytuacja BCU, które są zobligowane do przeprowadzenia szkolenia/ kursu i walidacji dla określonej grupy osób). </w:t>
      </w:r>
    </w:p>
    <w:p w14:paraId="4EA41CFC" w14:textId="77777777" w:rsidR="00CD1F0D" w:rsidRDefault="00000000">
      <w:pPr>
        <w:pStyle w:val="Nagwek1"/>
        <w:numPr>
          <w:ilvl w:val="0"/>
          <w:numId w:val="2"/>
        </w:numPr>
      </w:pPr>
      <w:r>
        <w:t xml:space="preserve">Zapewnianie jakości walidacji i certyfikacji w wymiarze merytorycznym </w:t>
      </w:r>
    </w:p>
    <w:p w14:paraId="08F8DF32" w14:textId="736AA8EF" w:rsidR="00CD1F0D" w:rsidRPr="00DE486D" w:rsidRDefault="00000000">
      <w:pPr>
        <w:pBdr>
          <w:top w:val="nil"/>
          <w:left w:val="nil"/>
          <w:bottom w:val="nil"/>
          <w:right w:val="nil"/>
          <w:between w:val="nil"/>
        </w:pBdr>
        <w:spacing w:after="160"/>
        <w:rPr>
          <w:sz w:val="22"/>
          <w:szCs w:val="22"/>
        </w:rPr>
      </w:pPr>
      <w:r w:rsidRPr="00DE486D">
        <w:rPr>
          <w:sz w:val="22"/>
          <w:szCs w:val="22"/>
        </w:rPr>
        <w:t>Czy IC stworzyła wystandaryzowane narzędzia walidacji? Czy zostały spisane zasady postępowania członków komisji podczas walidacji? W jaki sposób zagwarantowana jest bezstronność asesorów? Czy</w:t>
      </w:r>
      <w:r w:rsidR="00DE486D">
        <w:rPr>
          <w:sz w:val="22"/>
          <w:szCs w:val="22"/>
        </w:rPr>
        <w:t> </w:t>
      </w:r>
      <w:r w:rsidRPr="00DE486D">
        <w:rPr>
          <w:sz w:val="22"/>
          <w:szCs w:val="22"/>
        </w:rPr>
        <w:t xml:space="preserve">kadra została przeszkolona w zakresie korzystania z narzędzi oraz procedur walidacyjnych? Czy IC zapewnia rozwiązania przeciwdziałające konfliktowi interesów?  </w:t>
      </w:r>
    </w:p>
    <w:p w14:paraId="4E972701" w14:textId="77777777" w:rsidR="00CD1F0D" w:rsidRDefault="00000000">
      <w:pPr>
        <w:pStyle w:val="Nagwek1"/>
        <w:numPr>
          <w:ilvl w:val="0"/>
          <w:numId w:val="2"/>
        </w:numPr>
      </w:pPr>
      <w:r>
        <w:t>Monitorowanie walidacji i certyfikowania</w:t>
      </w:r>
    </w:p>
    <w:p w14:paraId="17C020CA" w14:textId="77777777" w:rsidR="00CD1F0D" w:rsidRPr="00DE486D" w:rsidRDefault="00000000">
      <w:pPr>
        <w:spacing w:after="160"/>
        <w:rPr>
          <w:sz w:val="22"/>
          <w:szCs w:val="22"/>
        </w:rPr>
      </w:pPr>
      <w:r w:rsidRPr="00DE486D">
        <w:rPr>
          <w:sz w:val="22"/>
          <w:szCs w:val="22"/>
        </w:rPr>
        <w:t>Konieczność monitorowania walidacji i certyfikowania wynika z art. 63 ust. 3 pkt. 2 ustawy o ZSK.</w:t>
      </w:r>
    </w:p>
    <w:p w14:paraId="40B6AD8A" w14:textId="670F343A" w:rsidR="00CD1F0D" w:rsidRPr="00DE486D" w:rsidRDefault="00000000">
      <w:pPr>
        <w:pBdr>
          <w:top w:val="nil"/>
          <w:left w:val="nil"/>
          <w:bottom w:val="nil"/>
          <w:right w:val="nil"/>
          <w:between w:val="nil"/>
        </w:pBdr>
        <w:spacing w:after="160"/>
        <w:rPr>
          <w:rFonts w:ascii="Times New Roman" w:eastAsia="Times New Roman" w:hAnsi="Times New Roman" w:cs="Times New Roman"/>
          <w:sz w:val="26"/>
          <w:szCs w:val="26"/>
        </w:rPr>
      </w:pPr>
      <w:r w:rsidRPr="00DE486D">
        <w:rPr>
          <w:color w:val="000000"/>
          <w:sz w:val="22"/>
          <w:szCs w:val="22"/>
        </w:rPr>
        <w:t>Jakie obszary podlegają monitorowaniu w IC? Kto jest odpowiedzialny za ten obszar działań? W jaki sposób prowadzone jest/będzie monitorowanie? Jak dokumentowane są wyniki? Kto podejmuje decyzje o</w:t>
      </w:r>
      <w:r w:rsidR="00DE486D" w:rsidRPr="00DE486D">
        <w:rPr>
          <w:color w:val="000000"/>
          <w:sz w:val="22"/>
          <w:szCs w:val="22"/>
        </w:rPr>
        <w:t> </w:t>
      </w:r>
      <w:r w:rsidRPr="00DE486D">
        <w:rPr>
          <w:color w:val="000000"/>
          <w:sz w:val="22"/>
          <w:szCs w:val="22"/>
        </w:rPr>
        <w:t>ewentualnym wprowadzeniu bieżących zmian?</w:t>
      </w:r>
      <w:r w:rsidRPr="00DE486D">
        <w:rPr>
          <w:color w:val="000000"/>
        </w:rPr>
        <w:t xml:space="preserve"> </w:t>
      </w:r>
    </w:p>
    <w:p w14:paraId="3B2C5DE7" w14:textId="77777777" w:rsidR="00CD1F0D" w:rsidRDefault="00000000">
      <w:pPr>
        <w:pStyle w:val="Nagwek1"/>
        <w:numPr>
          <w:ilvl w:val="0"/>
          <w:numId w:val="2"/>
        </w:numPr>
      </w:pPr>
      <w:r>
        <w:t>Ewaluacja wewnętrzna </w:t>
      </w:r>
    </w:p>
    <w:p w14:paraId="301B276F" w14:textId="77777777" w:rsidR="00CD1F0D" w:rsidRPr="00DE486D" w:rsidRDefault="00000000">
      <w:pPr>
        <w:spacing w:after="160"/>
        <w:rPr>
          <w:sz w:val="22"/>
          <w:szCs w:val="22"/>
        </w:rPr>
      </w:pPr>
      <w:r w:rsidRPr="00DE486D">
        <w:rPr>
          <w:sz w:val="22"/>
          <w:szCs w:val="22"/>
        </w:rPr>
        <w:t>Konieczność prowadzenia ewaluacji wewnętrznej wynika z art. 63 ust. 3 pkt. 3 ustawy o ZSK.</w:t>
      </w:r>
    </w:p>
    <w:p w14:paraId="1CC48FDD" w14:textId="0113642D" w:rsidR="00CD1F0D" w:rsidRPr="00DE486D" w:rsidRDefault="00000000">
      <w:pPr>
        <w:pBdr>
          <w:top w:val="nil"/>
          <w:left w:val="nil"/>
          <w:bottom w:val="nil"/>
          <w:right w:val="nil"/>
          <w:between w:val="nil"/>
        </w:pBdr>
        <w:spacing w:after="160"/>
        <w:rPr>
          <w:sz w:val="22"/>
          <w:szCs w:val="22"/>
        </w:rPr>
      </w:pPr>
      <w:r w:rsidRPr="00DE486D">
        <w:rPr>
          <w:sz w:val="22"/>
          <w:szCs w:val="22"/>
        </w:rPr>
        <w:t xml:space="preserve">Obecnie raport z ewaluacji wewnętrznej wraz ze sprawozdaniem z działalności instytucja certyfikująca składa poprzez aplikację </w:t>
      </w:r>
      <w:r w:rsidR="00DE486D">
        <w:rPr>
          <w:sz w:val="22"/>
          <w:szCs w:val="22"/>
        </w:rPr>
        <w:t>e</w:t>
      </w:r>
      <w:r w:rsidRPr="00DE486D">
        <w:rPr>
          <w:sz w:val="22"/>
          <w:szCs w:val="22"/>
        </w:rPr>
        <w:t>-</w:t>
      </w:r>
      <w:r w:rsidR="00DE486D">
        <w:rPr>
          <w:sz w:val="22"/>
          <w:szCs w:val="22"/>
        </w:rPr>
        <w:t>R</w:t>
      </w:r>
      <w:r w:rsidRPr="00DE486D">
        <w:rPr>
          <w:sz w:val="22"/>
          <w:szCs w:val="22"/>
        </w:rPr>
        <w:t>aporty prowadzoną przez ZRK (moduł “IC - sprawozdawczość” lub na adres sprawozdawczosc@ibe.edu.pl.</w:t>
      </w:r>
    </w:p>
    <w:p w14:paraId="3BCFD027" w14:textId="77777777" w:rsidR="00CD1F0D" w:rsidRPr="00DE486D" w:rsidRDefault="00000000">
      <w:pPr>
        <w:pBdr>
          <w:top w:val="nil"/>
          <w:left w:val="nil"/>
          <w:bottom w:val="nil"/>
          <w:right w:val="nil"/>
          <w:between w:val="nil"/>
        </w:pBdr>
        <w:spacing w:after="160"/>
        <w:rPr>
          <w:sz w:val="22"/>
          <w:szCs w:val="22"/>
        </w:rPr>
      </w:pPr>
      <w:r w:rsidRPr="00DE486D">
        <w:rPr>
          <w:sz w:val="22"/>
          <w:szCs w:val="22"/>
        </w:rPr>
        <w:br/>
      </w:r>
      <w:r w:rsidRPr="00DE486D">
        <w:rPr>
          <w:color w:val="000000"/>
          <w:sz w:val="22"/>
          <w:szCs w:val="22"/>
        </w:rPr>
        <w:t>Kto w IC jest/ będzie odpowiedzialny za przeprowadzenie ewaluacji wewnętrznej i za przygotowanie raportu z ewaluacji? Jakie metody zostaną wykorzystane w ewaluacji? Jakie będą kluczowe pytania badawcze?  Jakie obszary będą podleg</w:t>
      </w:r>
      <w:r w:rsidRPr="00DE486D">
        <w:rPr>
          <w:sz w:val="22"/>
          <w:szCs w:val="22"/>
        </w:rPr>
        <w:t xml:space="preserve">ały ewaluacji wewnętrznej? </w:t>
      </w:r>
    </w:p>
    <w:p w14:paraId="2E712ADB" w14:textId="77777777" w:rsidR="00CD1F0D" w:rsidRDefault="00000000" w:rsidP="00DE486D">
      <w:pPr>
        <w:pStyle w:val="Nagwek1"/>
        <w:numPr>
          <w:ilvl w:val="0"/>
          <w:numId w:val="2"/>
        </w:numPr>
        <w:spacing w:before="0"/>
      </w:pPr>
      <w:r>
        <w:lastRenderedPageBreak/>
        <w:t xml:space="preserve">Spełnienie innych wymagań ustawowych </w:t>
      </w:r>
    </w:p>
    <w:p w14:paraId="4685E05C" w14:textId="77777777" w:rsidR="00CD1F0D" w:rsidRPr="00DE486D" w:rsidRDefault="00000000" w:rsidP="00DE486D">
      <w:pPr>
        <w:pStyle w:val="Nagwek2"/>
        <w:spacing w:before="120"/>
        <w:rPr>
          <w:sz w:val="24"/>
          <w:szCs w:val="24"/>
        </w:rPr>
      </w:pPr>
      <w:r w:rsidRPr="00DE486D">
        <w:rPr>
          <w:sz w:val="24"/>
          <w:szCs w:val="24"/>
        </w:rPr>
        <w:t>5.1 Obowiązek informacyjny</w:t>
      </w:r>
    </w:p>
    <w:p w14:paraId="3E7E46FC" w14:textId="77777777" w:rsidR="00CD1F0D" w:rsidRPr="00DE486D" w:rsidRDefault="00000000" w:rsidP="00DE486D">
      <w:pPr>
        <w:pBdr>
          <w:top w:val="nil"/>
          <w:left w:val="nil"/>
          <w:bottom w:val="nil"/>
          <w:right w:val="nil"/>
          <w:between w:val="nil"/>
        </w:pBdr>
        <w:spacing w:before="120" w:after="60" w:line="276" w:lineRule="auto"/>
        <w:ind w:right="120" w:firstLine="0"/>
      </w:pPr>
      <w:r w:rsidRPr="00DE486D">
        <w:rPr>
          <w:sz w:val="22"/>
          <w:szCs w:val="22"/>
        </w:rPr>
        <w:t>Zgodnie z ustawą o ZSK, instytucja certyfikująca prowadzi stronę internetową, na której udostępnia szczegółowe informacje o sposobie organizowania i prowadzenia walidacji oraz o aktualnie obowiązujących opłatach za walidację i certyfikowanie. (art. 47 ust. 4)</w:t>
      </w:r>
      <w:r w:rsidRPr="00DE486D">
        <w:t xml:space="preserve"> </w:t>
      </w:r>
    </w:p>
    <w:p w14:paraId="0D760B50" w14:textId="77777777" w:rsidR="00CD1F0D" w:rsidRPr="00DE486D" w:rsidRDefault="00000000" w:rsidP="00DE486D">
      <w:pPr>
        <w:pBdr>
          <w:top w:val="nil"/>
          <w:left w:val="nil"/>
          <w:bottom w:val="nil"/>
          <w:right w:val="nil"/>
          <w:between w:val="nil"/>
        </w:pBdr>
        <w:spacing w:before="120" w:after="60" w:line="276" w:lineRule="auto"/>
        <w:ind w:right="120" w:firstLine="0"/>
        <w:rPr>
          <w:sz w:val="22"/>
          <w:szCs w:val="22"/>
        </w:rPr>
      </w:pPr>
      <w:r w:rsidRPr="00DE486D">
        <w:rPr>
          <w:sz w:val="22"/>
          <w:szCs w:val="22"/>
        </w:rPr>
        <w:t xml:space="preserve">Przydatne materiały IBE-PIB: </w:t>
      </w:r>
    </w:p>
    <w:p w14:paraId="049CC6C5" w14:textId="77777777" w:rsidR="00CD1F0D" w:rsidRPr="00DE486D" w:rsidRDefault="00000000" w:rsidP="00DE486D">
      <w:pPr>
        <w:numPr>
          <w:ilvl w:val="0"/>
          <w:numId w:val="1"/>
        </w:numPr>
        <w:pBdr>
          <w:top w:val="nil"/>
          <w:left w:val="nil"/>
          <w:bottom w:val="nil"/>
          <w:right w:val="nil"/>
          <w:between w:val="nil"/>
        </w:pBdr>
        <w:spacing w:before="120" w:line="276" w:lineRule="auto"/>
        <w:ind w:right="120"/>
        <w:rPr>
          <w:sz w:val="22"/>
          <w:szCs w:val="22"/>
        </w:rPr>
      </w:pPr>
      <w:hyperlink r:id="rId8">
        <w:r w:rsidRPr="00DE486D">
          <w:rPr>
            <w:color w:val="1155CC"/>
            <w:sz w:val="22"/>
            <w:szCs w:val="22"/>
            <w:u w:val="single"/>
          </w:rPr>
          <w:t>Rekomendacje w zakresie funkcjonowania instytucji certyfikujących w ZSK</w:t>
        </w:r>
      </w:hyperlink>
      <w:r w:rsidRPr="00DE486D">
        <w:rPr>
          <w:sz w:val="22"/>
          <w:szCs w:val="22"/>
        </w:rPr>
        <w:t>, rozdz. 7 “Informowanie na stronie internetowej o walidacji”</w:t>
      </w:r>
    </w:p>
    <w:p w14:paraId="0D822AB8" w14:textId="77777777" w:rsidR="00CD1F0D" w:rsidRPr="00DE486D" w:rsidRDefault="00000000" w:rsidP="00DE486D">
      <w:pPr>
        <w:numPr>
          <w:ilvl w:val="0"/>
          <w:numId w:val="1"/>
        </w:numPr>
        <w:pBdr>
          <w:top w:val="nil"/>
          <w:left w:val="nil"/>
          <w:bottom w:val="nil"/>
          <w:right w:val="nil"/>
          <w:between w:val="nil"/>
        </w:pBdr>
        <w:spacing w:before="120" w:after="60" w:line="276" w:lineRule="auto"/>
        <w:ind w:right="120"/>
        <w:rPr>
          <w:sz w:val="22"/>
          <w:szCs w:val="22"/>
        </w:rPr>
      </w:pPr>
      <w:hyperlink r:id="rId9">
        <w:r w:rsidRPr="00DE486D">
          <w:rPr>
            <w:color w:val="1155CC"/>
            <w:sz w:val="22"/>
            <w:szCs w:val="22"/>
            <w:u w:val="single"/>
          </w:rPr>
          <w:t>Propozycja układu treści na stronę instytucji certyfikującej</w:t>
        </w:r>
      </w:hyperlink>
      <w:r w:rsidRPr="00DE486D">
        <w:rPr>
          <w:sz w:val="22"/>
          <w:szCs w:val="22"/>
        </w:rPr>
        <w:t>.</w:t>
      </w:r>
    </w:p>
    <w:p w14:paraId="55AD7C54" w14:textId="2918224C" w:rsidR="00CD1F0D" w:rsidRPr="00DE486D" w:rsidRDefault="00000000" w:rsidP="00DE486D">
      <w:pPr>
        <w:pBdr>
          <w:top w:val="nil"/>
          <w:left w:val="nil"/>
          <w:bottom w:val="nil"/>
          <w:right w:val="nil"/>
          <w:between w:val="nil"/>
        </w:pBdr>
        <w:spacing w:before="120" w:after="60" w:line="276" w:lineRule="auto"/>
        <w:ind w:right="120" w:firstLine="0"/>
        <w:rPr>
          <w:sz w:val="22"/>
          <w:szCs w:val="22"/>
        </w:rPr>
      </w:pPr>
      <w:r w:rsidRPr="00DE486D">
        <w:rPr>
          <w:sz w:val="22"/>
          <w:szCs w:val="22"/>
        </w:rPr>
        <w:t>Na jakiej stronie internetowej IC zamieści informacje o przebiegu walidacji, a także o opłatach i</w:t>
      </w:r>
      <w:r w:rsidR="00DE486D">
        <w:rPr>
          <w:sz w:val="22"/>
          <w:szCs w:val="22"/>
        </w:rPr>
        <w:t> </w:t>
      </w:r>
      <w:r w:rsidRPr="00DE486D">
        <w:rPr>
          <w:sz w:val="22"/>
          <w:szCs w:val="22"/>
        </w:rPr>
        <w:t>terminach (czy będzie to odrębna strona stworzona na potrzeby walidacji, czy podstrona istniejącej już witryny)? Czy poza stroną internetową IC planuje inne sposoby informowania, np. strona Fb organizacji, informacje na targach, w pismach branżowych, itp.? Kto odpowiada za ich opracowanie, upublicznianie i</w:t>
      </w:r>
      <w:r w:rsidR="00DE486D">
        <w:rPr>
          <w:sz w:val="22"/>
          <w:szCs w:val="22"/>
        </w:rPr>
        <w:t> </w:t>
      </w:r>
      <w:r w:rsidRPr="00DE486D">
        <w:rPr>
          <w:sz w:val="22"/>
          <w:szCs w:val="22"/>
        </w:rPr>
        <w:t>aktualizację?</w:t>
      </w:r>
    </w:p>
    <w:p w14:paraId="7B879826" w14:textId="77777777" w:rsidR="00CD1F0D" w:rsidRPr="00DE486D" w:rsidRDefault="00000000" w:rsidP="00DE486D">
      <w:pPr>
        <w:pBdr>
          <w:top w:val="nil"/>
          <w:left w:val="nil"/>
          <w:bottom w:val="nil"/>
          <w:right w:val="nil"/>
          <w:between w:val="nil"/>
        </w:pBdr>
        <w:spacing w:before="120" w:after="60" w:line="276" w:lineRule="auto"/>
        <w:ind w:right="120" w:firstLine="0"/>
        <w:rPr>
          <w:sz w:val="20"/>
          <w:szCs w:val="20"/>
        </w:rPr>
      </w:pPr>
      <w:r w:rsidRPr="00DE486D">
        <w:rPr>
          <w:sz w:val="22"/>
          <w:szCs w:val="22"/>
        </w:rPr>
        <w:t xml:space="preserve">Informacje prezentowane na stronie mogą stanowić także formę wsparcia kandydata w zakresie przygotowania do walidacji. Może to być udostępnienie materiałów pomocniczych (np. listy przydatnej literatury, próbnych testów, przykładowych zadań) lub podanie informacji o możliwościach dalszego uczenia się (o ile takie oferuje IC), pomocnego w przygotowaniu do walidacji. Czy IC zamierza zapewnić tego typu materiały? </w:t>
      </w:r>
    </w:p>
    <w:p w14:paraId="38F4D4D6" w14:textId="77777777" w:rsidR="00CD1F0D" w:rsidRPr="00DE486D" w:rsidRDefault="00000000" w:rsidP="00DE486D">
      <w:pPr>
        <w:pStyle w:val="Nagwek2"/>
        <w:spacing w:before="120"/>
        <w:rPr>
          <w:sz w:val="24"/>
          <w:szCs w:val="24"/>
        </w:rPr>
      </w:pPr>
      <w:r w:rsidRPr="00DE486D">
        <w:rPr>
          <w:sz w:val="24"/>
          <w:szCs w:val="24"/>
        </w:rPr>
        <w:t>5.2 Obowiązek przechowywania dokumentacji</w:t>
      </w:r>
    </w:p>
    <w:p w14:paraId="4737F9C7" w14:textId="46BF78EB" w:rsidR="00CD1F0D" w:rsidRPr="00DE486D" w:rsidRDefault="00000000">
      <w:pPr>
        <w:spacing w:before="60" w:after="60"/>
        <w:ind w:right="120" w:firstLine="0"/>
        <w:rPr>
          <w:sz w:val="22"/>
          <w:szCs w:val="22"/>
        </w:rPr>
      </w:pPr>
      <w:r w:rsidRPr="00DE486D">
        <w:rPr>
          <w:sz w:val="22"/>
          <w:szCs w:val="22"/>
        </w:rPr>
        <w:t>Minimalne wymagania wobec przechowywania informacji dot. posiadacza certyfikatu oraz protokołów z</w:t>
      </w:r>
      <w:r w:rsidR="00DE486D">
        <w:rPr>
          <w:sz w:val="22"/>
          <w:szCs w:val="22"/>
        </w:rPr>
        <w:t> </w:t>
      </w:r>
      <w:r w:rsidRPr="00DE486D">
        <w:rPr>
          <w:sz w:val="22"/>
          <w:szCs w:val="22"/>
        </w:rPr>
        <w:t>przeprowadzonej walidacji znajdują się w art. 49a ust. 3, 4, 5 i 6 ustawy o ZSK.</w:t>
      </w:r>
      <w:r w:rsidRPr="00DE486D">
        <w:rPr>
          <w:sz w:val="22"/>
          <w:szCs w:val="22"/>
          <w:vertAlign w:val="superscript"/>
        </w:rPr>
        <w:footnoteReference w:id="1"/>
      </w:r>
    </w:p>
    <w:p w14:paraId="56126DCE" w14:textId="77777777" w:rsidR="00CD1F0D" w:rsidRPr="00DE486D" w:rsidRDefault="00000000" w:rsidP="00DE486D">
      <w:pPr>
        <w:spacing w:before="120" w:after="60"/>
        <w:ind w:right="120" w:firstLine="0"/>
        <w:rPr>
          <w:sz w:val="22"/>
          <w:szCs w:val="22"/>
        </w:rPr>
      </w:pPr>
      <w:r w:rsidRPr="00DE486D">
        <w:rPr>
          <w:sz w:val="22"/>
          <w:szCs w:val="22"/>
        </w:rPr>
        <w:t>Jakie dokumenty dot. przebiegu walidacji IC wytwarza? Które z nich są przechowywane i jak długo?</w:t>
      </w:r>
    </w:p>
    <w:p w14:paraId="1C0B5340" w14:textId="77777777" w:rsidR="00CD1F0D" w:rsidRPr="00DE486D" w:rsidRDefault="00000000">
      <w:pPr>
        <w:spacing w:before="60" w:after="60"/>
      </w:pPr>
      <w:r w:rsidRPr="00DE486D">
        <w:rPr>
          <w:sz w:val="22"/>
          <w:szCs w:val="22"/>
        </w:rPr>
        <w:t xml:space="preserve">W jaki sposób IC zabezpiecza dane? </w:t>
      </w:r>
    </w:p>
    <w:p w14:paraId="798588CD" w14:textId="77777777" w:rsidR="00CD1F0D" w:rsidRDefault="00000000">
      <w:pPr>
        <w:pStyle w:val="Nagwek1"/>
        <w:ind w:firstLine="0"/>
      </w:pPr>
      <w:r>
        <w:br w:type="page"/>
      </w:r>
      <w:r>
        <w:lastRenderedPageBreak/>
        <w:t>6. Analiza ryzyk </w:t>
      </w:r>
    </w:p>
    <w:p w14:paraId="12DE166A" w14:textId="68060EE1" w:rsidR="00CD1F0D" w:rsidRPr="00DE486D" w:rsidRDefault="00000000" w:rsidP="00DE486D">
      <w:pPr>
        <w:pBdr>
          <w:top w:val="nil"/>
          <w:left w:val="nil"/>
          <w:bottom w:val="nil"/>
          <w:right w:val="nil"/>
          <w:between w:val="nil"/>
        </w:pBdr>
        <w:spacing w:after="160" w:line="276" w:lineRule="auto"/>
        <w:rPr>
          <w:rFonts w:ascii="Times New Roman" w:eastAsia="Times New Roman" w:hAnsi="Times New Roman" w:cs="Times New Roman"/>
          <w:color w:val="000000"/>
        </w:rPr>
      </w:pPr>
      <w:r w:rsidRPr="00DE486D">
        <w:rPr>
          <w:color w:val="000000"/>
          <w:sz w:val="22"/>
          <w:szCs w:val="22"/>
        </w:rPr>
        <w:t xml:space="preserve">Możliwe ryzyka dla jakości nadawania kwalifikacji można zdefiniować jako zdarzenia, sytuacje oraz ich skutki, </w:t>
      </w:r>
      <w:r w:rsidRPr="00DE486D">
        <w:rPr>
          <w:b/>
          <w:bCs/>
          <w:color w:val="000000"/>
          <w:sz w:val="22"/>
          <w:szCs w:val="22"/>
        </w:rPr>
        <w:t>które mają wpływ na jakość walidacji, certyfikowania</w:t>
      </w:r>
      <w:r w:rsidRPr="00DE486D">
        <w:rPr>
          <w:color w:val="000000"/>
          <w:sz w:val="22"/>
          <w:szCs w:val="22"/>
        </w:rPr>
        <w:t xml:space="preserve"> i obsługi kandydatów (np. brak zainteresowania walidacją nie jest ryzykiem dla jej jakości, lecz ryzykiem dla IC), </w:t>
      </w:r>
      <w:r w:rsidRPr="00DE486D">
        <w:rPr>
          <w:b/>
          <w:bCs/>
          <w:color w:val="000000"/>
          <w:sz w:val="22"/>
          <w:szCs w:val="22"/>
        </w:rPr>
        <w:t>których wystąpienie jest prawdopodobne</w:t>
      </w:r>
      <w:r w:rsidRPr="00DE486D">
        <w:rPr>
          <w:color w:val="000000"/>
          <w:sz w:val="22"/>
          <w:szCs w:val="22"/>
        </w:rPr>
        <w:t xml:space="preserve"> i których wystąpienie </w:t>
      </w:r>
      <w:r w:rsidRPr="00DE486D">
        <w:rPr>
          <w:b/>
          <w:bCs/>
          <w:color w:val="000000"/>
          <w:sz w:val="22"/>
          <w:szCs w:val="22"/>
        </w:rPr>
        <w:t>nie jest bezpośrednio związane z decyzją lub brakiem decyzji IC</w:t>
      </w:r>
      <w:r w:rsidRPr="00DE486D">
        <w:rPr>
          <w:color w:val="000000"/>
          <w:sz w:val="22"/>
          <w:szCs w:val="22"/>
        </w:rPr>
        <w:t xml:space="preserve"> (np. brak procedur lub ich opracowanie wynika z decyzji IC, więc nie jest to ryzyko, ale ryzykiem jest np. awaria oprogramowania/ sprzętu wykorzystywanego podczas walidacji, rezygnacja kandydatów „w</w:t>
      </w:r>
      <w:r w:rsidR="00DE486D">
        <w:rPr>
          <w:color w:val="000000"/>
          <w:sz w:val="22"/>
          <w:szCs w:val="22"/>
        </w:rPr>
        <w:t> </w:t>
      </w:r>
      <w:r w:rsidRPr="00DE486D">
        <w:rPr>
          <w:color w:val="000000"/>
          <w:sz w:val="22"/>
          <w:szCs w:val="22"/>
        </w:rPr>
        <w:t>ostatniej chwili”).</w:t>
      </w:r>
    </w:p>
    <w:p w14:paraId="6D0E9062" w14:textId="77777777" w:rsidR="00CD1F0D" w:rsidRPr="00DE486D" w:rsidRDefault="00000000" w:rsidP="00DE486D">
      <w:pPr>
        <w:pBdr>
          <w:top w:val="nil"/>
          <w:left w:val="nil"/>
          <w:bottom w:val="nil"/>
          <w:right w:val="nil"/>
          <w:between w:val="nil"/>
        </w:pBdr>
        <w:spacing w:after="160" w:line="276" w:lineRule="auto"/>
        <w:rPr>
          <w:rFonts w:ascii="Times New Roman" w:eastAsia="Times New Roman" w:hAnsi="Times New Roman" w:cs="Times New Roman"/>
          <w:color w:val="000000"/>
        </w:rPr>
      </w:pPr>
      <w:r w:rsidRPr="00DE486D">
        <w:rPr>
          <w:color w:val="000000"/>
          <w:sz w:val="22"/>
          <w:szCs w:val="22"/>
        </w:rPr>
        <w:t>Proszę przedstawić potencjalne ryzyka w tabeli, uwzględniając rodzaj ryzyka, stopień prawdopodobieństwa wystąpienia oraz stopień wpływu na przebieg walidacji i certyfikowania oraz możliwe działania zaradcze/ mechanizmy minimalizujące ryzyko.</w:t>
      </w:r>
    </w:p>
    <w:tbl>
      <w:tblPr>
        <w:tblStyle w:val="af2"/>
        <w:tblW w:w="9487"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20" w:firstRow="1" w:lastRow="0" w:firstColumn="0" w:lastColumn="0" w:noHBand="0" w:noVBand="1"/>
      </w:tblPr>
      <w:tblGrid>
        <w:gridCol w:w="2371"/>
        <w:gridCol w:w="2372"/>
        <w:gridCol w:w="2372"/>
        <w:gridCol w:w="2372"/>
      </w:tblGrid>
      <w:tr w:rsidR="00CD1F0D" w14:paraId="55C5E32E" w14:textId="77777777" w:rsidTr="00DE486D">
        <w:tc>
          <w:tcPr>
            <w:tcW w:w="2371" w:type="dxa"/>
          </w:tcPr>
          <w:p w14:paraId="62C6026D" w14:textId="77777777" w:rsidR="00CD1F0D" w:rsidRDefault="00000000">
            <w:pPr>
              <w:ind w:firstLine="0"/>
            </w:pPr>
            <w:r>
              <w:rPr>
                <w:color w:val="000000"/>
                <w:sz w:val="22"/>
                <w:szCs w:val="22"/>
              </w:rPr>
              <w:t>Rodzaj ryzyka</w:t>
            </w:r>
          </w:p>
        </w:tc>
        <w:tc>
          <w:tcPr>
            <w:tcW w:w="2372" w:type="dxa"/>
          </w:tcPr>
          <w:p w14:paraId="6157EF21" w14:textId="77777777" w:rsidR="00CD1F0D" w:rsidRDefault="00000000">
            <w:pPr>
              <w:ind w:firstLine="0"/>
            </w:pPr>
            <w:r>
              <w:rPr>
                <w:color w:val="000000"/>
                <w:sz w:val="22"/>
                <w:szCs w:val="22"/>
              </w:rPr>
              <w:t>Stopień prawdopodobieństwa wystąpienia ryzyka (niski, średni, wysoki)</w:t>
            </w:r>
          </w:p>
        </w:tc>
        <w:tc>
          <w:tcPr>
            <w:tcW w:w="2372" w:type="dxa"/>
          </w:tcPr>
          <w:p w14:paraId="057DB589" w14:textId="6FD48232" w:rsidR="00CD1F0D" w:rsidRDefault="00000000">
            <w:pPr>
              <w:pBdr>
                <w:top w:val="nil"/>
                <w:left w:val="nil"/>
                <w:bottom w:val="nil"/>
                <w:right w:val="nil"/>
                <w:between w:val="nil"/>
              </w:pBdr>
              <w:rPr>
                <w:rFonts w:ascii="Times New Roman" w:eastAsia="Times New Roman" w:hAnsi="Times New Roman" w:cs="Times New Roman"/>
                <w:color w:val="000000"/>
              </w:rPr>
            </w:pPr>
            <w:r>
              <w:rPr>
                <w:color w:val="000000"/>
                <w:sz w:val="22"/>
                <w:szCs w:val="22"/>
              </w:rPr>
              <w:t>Znaczenie ryzyka dla jakości walidacji i</w:t>
            </w:r>
            <w:r w:rsidR="00DE486D">
              <w:rPr>
                <w:color w:val="000000"/>
                <w:sz w:val="22"/>
                <w:szCs w:val="22"/>
              </w:rPr>
              <w:t> </w:t>
            </w:r>
            <w:r>
              <w:rPr>
                <w:color w:val="000000"/>
                <w:sz w:val="22"/>
                <w:szCs w:val="22"/>
              </w:rPr>
              <w:t>certyfikowania </w:t>
            </w:r>
          </w:p>
          <w:p w14:paraId="42A9F580" w14:textId="77777777" w:rsidR="00CD1F0D" w:rsidRDefault="00000000">
            <w:pPr>
              <w:ind w:firstLine="0"/>
            </w:pPr>
            <w:r>
              <w:rPr>
                <w:color w:val="000000"/>
                <w:sz w:val="22"/>
                <w:szCs w:val="22"/>
              </w:rPr>
              <w:t>(niskie, średnie, wysoki)</w:t>
            </w:r>
          </w:p>
        </w:tc>
        <w:tc>
          <w:tcPr>
            <w:tcW w:w="2372" w:type="dxa"/>
          </w:tcPr>
          <w:p w14:paraId="0D3C1A34" w14:textId="77777777" w:rsidR="00CD1F0D" w:rsidRDefault="00000000">
            <w:pPr>
              <w:ind w:firstLine="0"/>
            </w:pPr>
            <w:r>
              <w:rPr>
                <w:color w:val="000000"/>
                <w:sz w:val="22"/>
                <w:szCs w:val="22"/>
              </w:rPr>
              <w:t>Możliwe działania zaradcze/ mechanizmy minimalizujące </w:t>
            </w:r>
          </w:p>
        </w:tc>
      </w:tr>
      <w:tr w:rsidR="00CD1F0D" w14:paraId="19B6847F" w14:textId="77777777" w:rsidTr="00DE486D">
        <w:tc>
          <w:tcPr>
            <w:tcW w:w="2371" w:type="dxa"/>
          </w:tcPr>
          <w:p w14:paraId="23A92E95" w14:textId="77777777" w:rsidR="00CD1F0D" w:rsidRDefault="00CD1F0D">
            <w:pPr>
              <w:ind w:firstLine="0"/>
            </w:pPr>
          </w:p>
        </w:tc>
        <w:tc>
          <w:tcPr>
            <w:tcW w:w="2372" w:type="dxa"/>
          </w:tcPr>
          <w:p w14:paraId="2C6CDFEC" w14:textId="77777777" w:rsidR="00CD1F0D" w:rsidRDefault="00CD1F0D">
            <w:pPr>
              <w:ind w:firstLine="0"/>
            </w:pPr>
          </w:p>
        </w:tc>
        <w:tc>
          <w:tcPr>
            <w:tcW w:w="2372" w:type="dxa"/>
          </w:tcPr>
          <w:p w14:paraId="67D739BF" w14:textId="77777777" w:rsidR="00CD1F0D" w:rsidRDefault="00CD1F0D">
            <w:pPr>
              <w:ind w:firstLine="0"/>
            </w:pPr>
          </w:p>
        </w:tc>
        <w:tc>
          <w:tcPr>
            <w:tcW w:w="2372" w:type="dxa"/>
          </w:tcPr>
          <w:p w14:paraId="46CF4C7F" w14:textId="77777777" w:rsidR="00CD1F0D" w:rsidRDefault="00CD1F0D">
            <w:pPr>
              <w:ind w:firstLine="0"/>
            </w:pPr>
          </w:p>
        </w:tc>
      </w:tr>
      <w:tr w:rsidR="00CD1F0D" w14:paraId="647EEA4F" w14:textId="77777777" w:rsidTr="00DE486D">
        <w:tc>
          <w:tcPr>
            <w:tcW w:w="2371" w:type="dxa"/>
          </w:tcPr>
          <w:p w14:paraId="0A05C63F" w14:textId="77777777" w:rsidR="00CD1F0D" w:rsidRDefault="00CD1F0D">
            <w:pPr>
              <w:ind w:firstLine="0"/>
            </w:pPr>
          </w:p>
        </w:tc>
        <w:tc>
          <w:tcPr>
            <w:tcW w:w="2372" w:type="dxa"/>
          </w:tcPr>
          <w:p w14:paraId="1A9304A7" w14:textId="77777777" w:rsidR="00CD1F0D" w:rsidRDefault="00CD1F0D">
            <w:pPr>
              <w:ind w:firstLine="0"/>
            </w:pPr>
          </w:p>
        </w:tc>
        <w:tc>
          <w:tcPr>
            <w:tcW w:w="2372" w:type="dxa"/>
          </w:tcPr>
          <w:p w14:paraId="15264320" w14:textId="77777777" w:rsidR="00CD1F0D" w:rsidRDefault="00CD1F0D">
            <w:pPr>
              <w:ind w:firstLine="0"/>
            </w:pPr>
          </w:p>
        </w:tc>
        <w:tc>
          <w:tcPr>
            <w:tcW w:w="2372" w:type="dxa"/>
          </w:tcPr>
          <w:p w14:paraId="77E9EEE6" w14:textId="77777777" w:rsidR="00CD1F0D" w:rsidRDefault="00CD1F0D">
            <w:pPr>
              <w:ind w:firstLine="0"/>
            </w:pPr>
          </w:p>
        </w:tc>
      </w:tr>
      <w:tr w:rsidR="00CD1F0D" w14:paraId="7D955B47" w14:textId="77777777" w:rsidTr="00DE486D">
        <w:tc>
          <w:tcPr>
            <w:tcW w:w="2371" w:type="dxa"/>
          </w:tcPr>
          <w:p w14:paraId="73EFC32B" w14:textId="77777777" w:rsidR="00CD1F0D" w:rsidRDefault="00CD1F0D">
            <w:pPr>
              <w:ind w:firstLine="0"/>
            </w:pPr>
          </w:p>
        </w:tc>
        <w:tc>
          <w:tcPr>
            <w:tcW w:w="2372" w:type="dxa"/>
          </w:tcPr>
          <w:p w14:paraId="501F4D18" w14:textId="77777777" w:rsidR="00CD1F0D" w:rsidRDefault="00CD1F0D">
            <w:pPr>
              <w:ind w:firstLine="0"/>
            </w:pPr>
          </w:p>
        </w:tc>
        <w:tc>
          <w:tcPr>
            <w:tcW w:w="2372" w:type="dxa"/>
          </w:tcPr>
          <w:p w14:paraId="5BDD70F4" w14:textId="77777777" w:rsidR="00CD1F0D" w:rsidRDefault="00CD1F0D">
            <w:pPr>
              <w:ind w:firstLine="0"/>
            </w:pPr>
          </w:p>
        </w:tc>
        <w:tc>
          <w:tcPr>
            <w:tcW w:w="2372" w:type="dxa"/>
          </w:tcPr>
          <w:p w14:paraId="5943154F" w14:textId="77777777" w:rsidR="00CD1F0D" w:rsidRDefault="00CD1F0D">
            <w:pPr>
              <w:ind w:firstLine="0"/>
            </w:pPr>
          </w:p>
        </w:tc>
      </w:tr>
      <w:tr w:rsidR="00CD1F0D" w14:paraId="0233C39B" w14:textId="77777777" w:rsidTr="00DE486D">
        <w:tc>
          <w:tcPr>
            <w:tcW w:w="2371" w:type="dxa"/>
          </w:tcPr>
          <w:p w14:paraId="65DB9BFE" w14:textId="77777777" w:rsidR="00CD1F0D" w:rsidRDefault="00CD1F0D">
            <w:pPr>
              <w:ind w:firstLine="0"/>
            </w:pPr>
          </w:p>
        </w:tc>
        <w:tc>
          <w:tcPr>
            <w:tcW w:w="2372" w:type="dxa"/>
          </w:tcPr>
          <w:p w14:paraId="34FC3A03" w14:textId="77777777" w:rsidR="00CD1F0D" w:rsidRDefault="00CD1F0D">
            <w:pPr>
              <w:ind w:firstLine="0"/>
            </w:pPr>
          </w:p>
        </w:tc>
        <w:tc>
          <w:tcPr>
            <w:tcW w:w="2372" w:type="dxa"/>
          </w:tcPr>
          <w:p w14:paraId="4B4A5DA8" w14:textId="77777777" w:rsidR="00CD1F0D" w:rsidRDefault="00CD1F0D">
            <w:pPr>
              <w:ind w:firstLine="0"/>
            </w:pPr>
          </w:p>
        </w:tc>
        <w:tc>
          <w:tcPr>
            <w:tcW w:w="2372" w:type="dxa"/>
          </w:tcPr>
          <w:p w14:paraId="7EF7C454" w14:textId="77777777" w:rsidR="00CD1F0D" w:rsidRDefault="00CD1F0D">
            <w:pPr>
              <w:ind w:firstLine="0"/>
            </w:pPr>
          </w:p>
        </w:tc>
      </w:tr>
    </w:tbl>
    <w:p w14:paraId="16E3B2CE" w14:textId="77777777" w:rsidR="00CD1F0D" w:rsidRDefault="00CD1F0D"/>
    <w:p w14:paraId="384F43BC" w14:textId="77777777" w:rsidR="00CD1F0D" w:rsidRDefault="00CD1F0D"/>
    <w:p w14:paraId="53E644EF" w14:textId="77777777" w:rsidR="00CD1F0D" w:rsidRDefault="00CD1F0D">
      <w:pPr>
        <w:pBdr>
          <w:top w:val="nil"/>
          <w:left w:val="nil"/>
          <w:bottom w:val="nil"/>
          <w:right w:val="nil"/>
          <w:between w:val="nil"/>
        </w:pBdr>
        <w:tabs>
          <w:tab w:val="center" w:pos="4680"/>
          <w:tab w:val="left" w:pos="7755"/>
        </w:tabs>
        <w:ind w:hanging="2"/>
        <w:jc w:val="right"/>
        <w:rPr>
          <w:rFonts w:ascii="Arial" w:eastAsia="Arial" w:hAnsi="Arial" w:cs="Arial"/>
          <w:b/>
          <w:bCs/>
          <w:color w:val="000000"/>
        </w:rPr>
      </w:pPr>
    </w:p>
    <w:sectPr w:rsidR="00CD1F0D">
      <w:headerReference w:type="even" r:id="rId10"/>
      <w:headerReference w:type="default" r:id="rId11"/>
      <w:footerReference w:type="even" r:id="rId12"/>
      <w:footerReference w:type="default" r:id="rId13"/>
      <w:headerReference w:type="first" r:id="rId14"/>
      <w:footerReference w:type="first" r:id="rId15"/>
      <w:pgSz w:w="11906" w:h="16838"/>
      <w:pgMar w:top="2167" w:right="1133" w:bottom="1701" w:left="1276" w:header="712" w:footer="482" w:gutter="0"/>
      <w:pgNumType w:start="1"/>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72D8CC1" w14:textId="77777777" w:rsidR="00A15928" w:rsidRDefault="00A15928">
      <w:r>
        <w:separator/>
      </w:r>
    </w:p>
  </w:endnote>
  <w:endnote w:type="continuationSeparator" w:id="0">
    <w:p w14:paraId="6F3FF2E9" w14:textId="77777777" w:rsidR="00A15928" w:rsidRDefault="00A159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embedRegular r:id="rId1" w:fontKey="{905AECF8-EC17-4F4D-A058-BF8994F4A621}"/>
    <w:embedBold r:id="rId2" w:fontKey="{E15F9A83-7699-4BF3-9AEB-2BC242AC6527}"/>
  </w:font>
  <w:font w:name="Lucida Grande CE">
    <w:panose1 w:val="00000000000000000000"/>
    <w:charset w:val="00"/>
    <w:family w:val="roman"/>
    <w:notTrueType/>
    <w:pitch w:val="default"/>
  </w:font>
  <w:font w:name="Georgia">
    <w:panose1 w:val="02040502050405020303"/>
    <w:charset w:val="EE"/>
    <w:family w:val="roman"/>
    <w:pitch w:val="variable"/>
    <w:sig w:usb0="00000287" w:usb1="00000000" w:usb2="00000000" w:usb3="00000000" w:csb0="0000009F" w:csb1="00000000"/>
    <w:embedItalic r:id="rId3" w:fontKey="{BBE2A46C-2323-4CFA-81C1-BF0554B743F0}"/>
  </w:font>
  <w:font w:name="Arial">
    <w:panose1 w:val="020B0604020202020204"/>
    <w:charset w:val="00"/>
    <w:family w:val="swiss"/>
    <w:pitch w:val="variable"/>
    <w:sig w:usb0="E0002EFF" w:usb1="C000785B" w:usb2="00000009" w:usb3="00000000" w:csb0="000001FF" w:csb1="00000000"/>
  </w:font>
  <w:font w:name="Open Sans">
    <w:charset w:val="00"/>
    <w:family w:val="swiss"/>
    <w:pitch w:val="variable"/>
    <w:sig w:usb0="E00002EF" w:usb1="4000205B" w:usb2="00000028" w:usb3="00000000" w:csb0="0000019F" w:csb1="00000000"/>
    <w:embedRegular r:id="rId4" w:fontKey="{2D9EBDC9-D637-44D2-929B-8F4F247EA277}"/>
    <w:embedBold r:id="rId5" w:fontKey="{63CEACEF-7B6B-403F-9C0A-DF24F9ECE0FB}"/>
  </w:font>
  <w:font w:name="Cambria">
    <w:panose1 w:val="02040503050406030204"/>
    <w:charset w:val="EE"/>
    <w:family w:val="roman"/>
    <w:pitch w:val="variable"/>
    <w:sig w:usb0="E00006FF" w:usb1="420024FF" w:usb2="02000000" w:usb3="00000000" w:csb0="0000019F" w:csb1="00000000"/>
    <w:embedRegular r:id="rId6" w:fontKey="{B2A3D7F8-2065-415E-86C7-C0BD8171807C}"/>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6DA012" w14:textId="77777777" w:rsidR="00CD1F0D" w:rsidRDefault="00CD1F0D">
    <w:pPr>
      <w:pBdr>
        <w:top w:val="nil"/>
        <w:left w:val="nil"/>
        <w:bottom w:val="nil"/>
        <w:right w:val="nil"/>
        <w:between w:val="nil"/>
      </w:pBdr>
      <w:ind w:hanging="2"/>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BF394F" w14:textId="77777777" w:rsidR="00CD1F0D" w:rsidRDefault="00000000">
    <w:pPr>
      <w:pBdr>
        <w:top w:val="nil"/>
        <w:left w:val="nil"/>
        <w:bottom w:val="nil"/>
        <w:right w:val="nil"/>
        <w:between w:val="nil"/>
      </w:pBdr>
      <w:ind w:firstLine="0"/>
      <w:jc w:val="right"/>
      <w:rPr>
        <w:color w:val="000000"/>
        <w:sz w:val="22"/>
        <w:szCs w:val="22"/>
      </w:rPr>
    </w:pPr>
    <w:r>
      <w:rPr>
        <w:sz w:val="22"/>
        <w:szCs w:val="22"/>
      </w:rPr>
      <w:fldChar w:fldCharType="begin"/>
    </w:r>
    <w:r>
      <w:rPr>
        <w:sz w:val="22"/>
        <w:szCs w:val="22"/>
      </w:rPr>
      <w:instrText>PAGE</w:instrText>
    </w:r>
    <w:r>
      <w:rPr>
        <w:sz w:val="22"/>
        <w:szCs w:val="22"/>
      </w:rPr>
      <w:fldChar w:fldCharType="separate"/>
    </w:r>
    <w:r w:rsidR="00DE486D">
      <w:rPr>
        <w:noProof/>
        <w:sz w:val="22"/>
        <w:szCs w:val="22"/>
      </w:rPr>
      <w:t>2</w:t>
    </w:r>
    <w:r>
      <w:rPr>
        <w:sz w:val="22"/>
        <w:szCs w:val="22"/>
      </w:rPr>
      <w:fldChar w:fldCharType="end"/>
    </w:r>
    <w:r>
      <w:rPr>
        <w:noProof/>
      </w:rPr>
      <w:drawing>
        <wp:anchor distT="0" distB="0" distL="0" distR="0" simplePos="0" relativeHeight="251660288" behindDoc="1" locked="0" layoutInCell="1" hidden="0" allowOverlap="1" wp14:anchorId="0702F2AE" wp14:editId="0A60AAB1">
          <wp:simplePos x="0" y="0"/>
          <wp:positionH relativeFrom="column">
            <wp:posOffset>1497204</wp:posOffset>
          </wp:positionH>
          <wp:positionV relativeFrom="paragraph">
            <wp:posOffset>-261254</wp:posOffset>
          </wp:positionV>
          <wp:extent cx="3060000" cy="432000"/>
          <wp:effectExtent l="0" t="0" r="0" b="0"/>
          <wp:wrapNone/>
          <wp:docPr id="27" name="image2.png" descr="2 logotypy, od lewej: Fundusze Europejskie dla Rozwoju Społecznego, Dofinansowane przez Unię Europejską. "/>
          <wp:cNvGraphicFramePr/>
          <a:graphic xmlns:a="http://schemas.openxmlformats.org/drawingml/2006/main">
            <a:graphicData uri="http://schemas.openxmlformats.org/drawingml/2006/picture">
              <pic:pic xmlns:pic="http://schemas.openxmlformats.org/drawingml/2006/picture">
                <pic:nvPicPr>
                  <pic:cNvPr id="27" name="image2.png" descr="2 logotypy, od lewej: Fundusze Europejskie dla Rozwoju Społecznego, Dofinansowane przez Unię Europejską. "/>
                  <pic:cNvPicPr preferRelativeResize="0"/>
                </pic:nvPicPr>
                <pic:blipFill>
                  <a:blip r:embed="rId1"/>
                  <a:srcRect/>
                  <a:stretch>
                    <a:fillRect/>
                  </a:stretch>
                </pic:blipFill>
                <pic:spPr>
                  <a:xfrm>
                    <a:off x="0" y="0"/>
                    <a:ext cx="3060000" cy="432000"/>
                  </a:xfrm>
                  <a:prstGeom prst="rect">
                    <a:avLst/>
                  </a:prstGeom>
                  <a:ln/>
                </pic:spPr>
              </pic:pic>
            </a:graphicData>
          </a:graphic>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516A2F" w14:textId="77777777" w:rsidR="00CD1F0D" w:rsidRDefault="00000000">
    <w:pPr>
      <w:tabs>
        <w:tab w:val="left" w:pos="3220"/>
      </w:tabs>
      <w:ind w:firstLine="0"/>
    </w:pPr>
    <w:r>
      <w:tab/>
    </w:r>
    <w:r>
      <w:rPr>
        <w:noProof/>
      </w:rPr>
      <w:drawing>
        <wp:anchor distT="0" distB="0" distL="0" distR="0" simplePos="0" relativeHeight="251661312" behindDoc="1" locked="0" layoutInCell="1" hidden="0" allowOverlap="1" wp14:anchorId="4B637D10" wp14:editId="1D64C67D">
          <wp:simplePos x="0" y="0"/>
          <wp:positionH relativeFrom="column">
            <wp:posOffset>1399847</wp:posOffset>
          </wp:positionH>
          <wp:positionV relativeFrom="paragraph">
            <wp:posOffset>-302893</wp:posOffset>
          </wp:positionV>
          <wp:extent cx="3060000" cy="432000"/>
          <wp:effectExtent l="0" t="0" r="0" b="0"/>
          <wp:wrapNone/>
          <wp:docPr id="28" name="image2.png" descr="2 logotypy, od lewej: Fundusze Europejskie dla Rozwoju Społecznego, Dofinansowane przez Unię Europejską. "/>
          <wp:cNvGraphicFramePr/>
          <a:graphic xmlns:a="http://schemas.openxmlformats.org/drawingml/2006/main">
            <a:graphicData uri="http://schemas.openxmlformats.org/drawingml/2006/picture">
              <pic:pic xmlns:pic="http://schemas.openxmlformats.org/drawingml/2006/picture">
                <pic:nvPicPr>
                  <pic:cNvPr id="28" name="image2.png" descr="2 logotypy, od lewej: Fundusze Europejskie dla Rozwoju Społecznego, Dofinansowane przez Unię Europejską. "/>
                  <pic:cNvPicPr preferRelativeResize="0"/>
                </pic:nvPicPr>
                <pic:blipFill>
                  <a:blip r:embed="rId1"/>
                  <a:srcRect/>
                  <a:stretch>
                    <a:fillRect/>
                  </a:stretch>
                </pic:blipFill>
                <pic:spPr>
                  <a:xfrm>
                    <a:off x="0" y="0"/>
                    <a:ext cx="3060000" cy="432000"/>
                  </a:xfrm>
                  <a:prstGeom prst="rect">
                    <a:avLst/>
                  </a:prstGeom>
                  <a:ln/>
                </pic:spPr>
              </pic:pic>
            </a:graphicData>
          </a:graphic>
        </wp:anchor>
      </w:drawing>
    </w:r>
  </w:p>
  <w:p w14:paraId="6863821C" w14:textId="77777777" w:rsidR="00CD1F0D" w:rsidRDefault="00000000">
    <w:pPr>
      <w:tabs>
        <w:tab w:val="left" w:pos="3220"/>
      </w:tabs>
      <w:ind w:firstLine="0"/>
      <w:jc w:val="right"/>
    </w:pPr>
    <w:r>
      <w:fldChar w:fldCharType="begin"/>
    </w:r>
    <w:r>
      <w:instrText>PAGE</w:instrText>
    </w:r>
    <w:r>
      <w:fldChar w:fldCharType="separate"/>
    </w:r>
    <w:r w:rsidR="00DE486D">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0F4EBBF" w14:textId="77777777" w:rsidR="00A15928" w:rsidRDefault="00A15928">
      <w:r>
        <w:separator/>
      </w:r>
    </w:p>
  </w:footnote>
  <w:footnote w:type="continuationSeparator" w:id="0">
    <w:p w14:paraId="13EB88A8" w14:textId="77777777" w:rsidR="00A15928" w:rsidRDefault="00A15928">
      <w:r>
        <w:continuationSeparator/>
      </w:r>
    </w:p>
  </w:footnote>
  <w:footnote w:id="1">
    <w:p w14:paraId="1CD424CC" w14:textId="1CB2351A" w:rsidR="00CD1F0D" w:rsidRDefault="00000000">
      <w:pPr>
        <w:rPr>
          <w:sz w:val="18"/>
          <w:szCs w:val="18"/>
        </w:rPr>
      </w:pPr>
      <w:r>
        <w:rPr>
          <w:vertAlign w:val="superscript"/>
        </w:rPr>
        <w:footnoteRef/>
      </w:r>
      <w:r>
        <w:rPr>
          <w:sz w:val="18"/>
          <w:szCs w:val="18"/>
        </w:rPr>
        <w:t xml:space="preserve"> Art. 49a ust. 3. Instytucja certyfikująca (...), prowadzi ewidencję wydanych certyfikatów kwalifikacji wolnorynkowych i</w:t>
      </w:r>
      <w:r w:rsidR="00DE486D">
        <w:rPr>
          <w:sz w:val="18"/>
          <w:szCs w:val="18"/>
        </w:rPr>
        <w:t> </w:t>
      </w:r>
      <w:r>
        <w:rPr>
          <w:sz w:val="18"/>
          <w:szCs w:val="18"/>
        </w:rPr>
        <w:t>certyfikatów kwalifikacji sektorowych obejmującą:</w:t>
      </w:r>
    </w:p>
    <w:p w14:paraId="11945DB6" w14:textId="3FFBA8F1" w:rsidR="00CD1F0D" w:rsidRPr="00DE486D" w:rsidRDefault="00000000" w:rsidP="00DE486D">
      <w:pPr>
        <w:pStyle w:val="Akapitzlist"/>
        <w:numPr>
          <w:ilvl w:val="0"/>
          <w:numId w:val="3"/>
        </w:numPr>
        <w:ind w:left="364"/>
        <w:rPr>
          <w:sz w:val="18"/>
          <w:szCs w:val="18"/>
        </w:rPr>
      </w:pPr>
      <w:r w:rsidRPr="00DE486D">
        <w:rPr>
          <w:sz w:val="18"/>
          <w:szCs w:val="18"/>
        </w:rPr>
        <w:t>dane, o których mowa w ust. 2 pkt 2, 4, 5 i 8 [nazwa kwalifikacji, imię (imiona) i nazwisko oraz datę urodzenia posiadacza certyfikatu, numer certyfikatu nadany przez instytucję certyfikującą, nazwę miejscowości i datę wydania certyfikatu];</w:t>
      </w:r>
    </w:p>
    <w:p w14:paraId="03DBBA0E" w14:textId="2EDDBFDA" w:rsidR="00CD1F0D" w:rsidRPr="00DE486D" w:rsidRDefault="00000000" w:rsidP="00DE486D">
      <w:pPr>
        <w:pStyle w:val="Akapitzlist"/>
        <w:numPr>
          <w:ilvl w:val="0"/>
          <w:numId w:val="3"/>
        </w:numPr>
        <w:ind w:left="364"/>
        <w:rPr>
          <w:sz w:val="18"/>
          <w:szCs w:val="18"/>
        </w:rPr>
      </w:pPr>
      <w:r w:rsidRPr="00DE486D">
        <w:rPr>
          <w:sz w:val="18"/>
          <w:szCs w:val="18"/>
        </w:rPr>
        <w:t>informacje o datach przeprowadzenia walidacji i podmiotach przeprowadzających walidację;</w:t>
      </w:r>
    </w:p>
    <w:p w14:paraId="1F7D61A3" w14:textId="452D0DB1" w:rsidR="00CD1F0D" w:rsidRPr="00DE486D" w:rsidRDefault="00000000" w:rsidP="00DE486D">
      <w:pPr>
        <w:pStyle w:val="Akapitzlist"/>
        <w:numPr>
          <w:ilvl w:val="0"/>
          <w:numId w:val="3"/>
        </w:numPr>
        <w:ind w:left="364"/>
        <w:rPr>
          <w:sz w:val="18"/>
          <w:szCs w:val="18"/>
        </w:rPr>
      </w:pPr>
      <w:r w:rsidRPr="00DE486D">
        <w:rPr>
          <w:sz w:val="18"/>
          <w:szCs w:val="18"/>
        </w:rPr>
        <w:t>informacje o osiągnięciach uznanych w sposób określony w art. 49 ust. 1 lub 2 [osiągnięcia stanowiące część wymagań dla danej kwalifikacji wolnorynkowej lub sektorowej, na podstawie dokumentu potwierdzającego nadanie innej kwalifikacji lub jeżeli uzyskanie tych osiągnięć zostało sprawdzone w przeprowadzonej walidacji.].</w:t>
      </w:r>
    </w:p>
    <w:p w14:paraId="24CB1175" w14:textId="77777777" w:rsidR="00CD1F0D" w:rsidRDefault="00000000" w:rsidP="00DE486D">
      <w:pPr>
        <w:spacing w:before="120" w:after="20"/>
        <w:ind w:firstLine="0"/>
        <w:jc w:val="both"/>
        <w:rPr>
          <w:rFonts w:ascii="Arial" w:eastAsia="Arial" w:hAnsi="Arial" w:cs="Arial"/>
          <w:sz w:val="18"/>
          <w:szCs w:val="18"/>
        </w:rPr>
      </w:pPr>
      <w:r>
        <w:rPr>
          <w:sz w:val="18"/>
          <w:szCs w:val="18"/>
        </w:rPr>
        <w:t xml:space="preserve">Art 49a ust. 4. Dane, o których mowa w ust. 2 pkt 4 [informacje dotyczące posiadacza certyfikatu: imię (imiona) </w:t>
      </w:r>
      <w:r>
        <w:rPr>
          <w:sz w:val="18"/>
          <w:szCs w:val="18"/>
        </w:rPr>
        <w:br/>
        <w:t>i nazwisko, datę urodzenia], są przechowywane w ewidencji, o której mowa w ust. 3, przez okres 5 lat.</w:t>
      </w:r>
    </w:p>
    <w:p w14:paraId="707CF063" w14:textId="77777777" w:rsidR="00CD1F0D" w:rsidRDefault="00000000" w:rsidP="00DE486D">
      <w:pPr>
        <w:spacing w:before="120"/>
        <w:ind w:firstLine="0"/>
        <w:jc w:val="both"/>
        <w:rPr>
          <w:sz w:val="18"/>
          <w:szCs w:val="18"/>
        </w:rPr>
      </w:pPr>
      <w:r>
        <w:rPr>
          <w:sz w:val="18"/>
          <w:szCs w:val="18"/>
        </w:rPr>
        <w:t>Art. 49a ust. 5. Ewidencja, o której mowa w ust. 3, jest prowadzona w postaci papierowej lub elektronicznej. System informatyczny służący do prowadzenia ewidencji w postaci elektronicznej umożliwia eksport danych do formatu XML.</w:t>
      </w:r>
    </w:p>
    <w:p w14:paraId="33090AB8" w14:textId="7D8E5963" w:rsidR="00CD1F0D" w:rsidRDefault="00000000" w:rsidP="00DE486D">
      <w:pPr>
        <w:spacing w:before="120"/>
        <w:rPr>
          <w:sz w:val="18"/>
          <w:szCs w:val="18"/>
        </w:rPr>
      </w:pPr>
      <w:r>
        <w:rPr>
          <w:sz w:val="18"/>
          <w:szCs w:val="18"/>
        </w:rPr>
        <w:t>Art. 49a ust. 6. Instytucja certyfikująca przechowuje protokoły z przeprowadzonej walidacji albo rozmowy, o której mowa w</w:t>
      </w:r>
      <w:r w:rsidR="00DE486D">
        <w:rPr>
          <w:sz w:val="18"/>
          <w:szCs w:val="18"/>
        </w:rPr>
        <w:t> </w:t>
      </w:r>
      <w:r>
        <w:rPr>
          <w:sz w:val="18"/>
          <w:szCs w:val="18"/>
        </w:rPr>
        <w:t>art.</w:t>
      </w:r>
      <w:r w:rsidR="00DE486D">
        <w:rPr>
          <w:sz w:val="18"/>
          <w:szCs w:val="18"/>
        </w:rPr>
        <w:t> </w:t>
      </w:r>
      <w:r>
        <w:rPr>
          <w:sz w:val="18"/>
          <w:szCs w:val="18"/>
        </w:rPr>
        <w:t>49 ust. 3 [rozmowy z osobą ubiegającą się o nadanie danej kwalifikacji wolnorynkowej lub sektorowej oraz na podstawie oceny przedstawionej przez tę osobę dokumentacji], przez okres 5 lat, licząc od dnia wystawienia certyfikatu kwalifikacji wolnorynkowej lub certyfikatu kwalifikacji sektorowej.</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274194" w14:textId="77777777" w:rsidR="00CD1F0D" w:rsidRDefault="00CD1F0D">
    <w:pPr>
      <w:pBdr>
        <w:top w:val="nil"/>
        <w:left w:val="nil"/>
        <w:bottom w:val="nil"/>
        <w:right w:val="nil"/>
        <w:between w:val="nil"/>
      </w:pBdr>
      <w:ind w:hanging="2"/>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664F1C" w14:textId="77777777" w:rsidR="00CD1F0D" w:rsidRDefault="00000000">
    <w:pPr>
      <w:tabs>
        <w:tab w:val="center" w:pos="4252"/>
        <w:tab w:val="right" w:pos="8504"/>
      </w:tabs>
      <w:ind w:firstLine="0"/>
      <w:rPr>
        <w:rFonts w:ascii="Open Sans" w:eastAsia="Open Sans" w:hAnsi="Open Sans" w:cs="Open Sans"/>
        <w:b/>
        <w:bCs/>
        <w:sz w:val="16"/>
        <w:szCs w:val="16"/>
      </w:rPr>
    </w:pPr>
    <w:r>
      <w:rPr>
        <w:noProof/>
      </w:rPr>
      <w:drawing>
        <wp:anchor distT="0" distB="0" distL="0" distR="0" simplePos="0" relativeHeight="251658240" behindDoc="1" locked="0" layoutInCell="1" hidden="0" allowOverlap="1" wp14:anchorId="0098C7C7" wp14:editId="68786F05">
          <wp:simplePos x="0" y="0"/>
          <wp:positionH relativeFrom="column">
            <wp:posOffset>-180974</wp:posOffset>
          </wp:positionH>
          <wp:positionV relativeFrom="paragraph">
            <wp:posOffset>-104774</wp:posOffset>
          </wp:positionV>
          <wp:extent cx="3432010" cy="665382"/>
          <wp:effectExtent l="0" t="0" r="0" b="0"/>
          <wp:wrapNone/>
          <wp:docPr id="25" name="image1.png" descr="2 logotypy. Od lewej: Instytutu Badań Edukacyjnych - Państwowego Instytutu Badawczego oraz Zintegrowanego Systemu Kwalifikacji."/>
          <wp:cNvGraphicFramePr/>
          <a:graphic xmlns:a="http://schemas.openxmlformats.org/drawingml/2006/main">
            <a:graphicData uri="http://schemas.openxmlformats.org/drawingml/2006/picture">
              <pic:pic xmlns:pic="http://schemas.openxmlformats.org/drawingml/2006/picture">
                <pic:nvPicPr>
                  <pic:cNvPr id="25" name="image1.png" descr="2 logotypy. Od lewej: Instytutu Badań Edukacyjnych - Państwowego Instytutu Badawczego oraz Zintegrowanego Systemu Kwalifikacji."/>
                  <pic:cNvPicPr preferRelativeResize="0"/>
                </pic:nvPicPr>
                <pic:blipFill>
                  <a:blip r:embed="rId1"/>
                  <a:srcRect/>
                  <a:stretch>
                    <a:fillRect/>
                  </a:stretch>
                </pic:blipFill>
                <pic:spPr>
                  <a:xfrm>
                    <a:off x="0" y="0"/>
                    <a:ext cx="3432010" cy="665382"/>
                  </a:xfrm>
                  <a:prstGeom prst="rect">
                    <a:avLst/>
                  </a:prstGeom>
                  <a:ln/>
                </pic:spPr>
              </pic:pic>
            </a:graphicData>
          </a:graphic>
        </wp:anchor>
      </w:drawing>
    </w:r>
  </w:p>
  <w:p w14:paraId="2BF5D45E" w14:textId="77777777" w:rsidR="00CD1F0D" w:rsidRDefault="00CD1F0D">
    <w:pPr>
      <w:pBdr>
        <w:top w:val="nil"/>
        <w:left w:val="nil"/>
        <w:bottom w:val="nil"/>
        <w:right w:val="nil"/>
        <w:between w:val="nil"/>
      </w:pBdr>
      <w:ind w:firstLine="0"/>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AE0BA2" w14:textId="77777777" w:rsidR="00CD1F0D" w:rsidRDefault="00000000">
    <w:pPr>
      <w:tabs>
        <w:tab w:val="center" w:pos="4252"/>
        <w:tab w:val="right" w:pos="8504"/>
      </w:tabs>
      <w:ind w:firstLine="0"/>
      <w:jc w:val="right"/>
      <w:rPr>
        <w:rFonts w:ascii="Open Sans" w:eastAsia="Open Sans" w:hAnsi="Open Sans" w:cs="Open Sans"/>
        <w:b/>
        <w:bCs/>
        <w:sz w:val="16"/>
        <w:szCs w:val="16"/>
      </w:rPr>
    </w:pPr>
    <w:r>
      <w:rPr>
        <w:noProof/>
      </w:rPr>
      <w:drawing>
        <wp:anchor distT="0" distB="0" distL="0" distR="0" simplePos="0" relativeHeight="251659264" behindDoc="1" locked="0" layoutInCell="1" hidden="0" allowOverlap="1" wp14:anchorId="76CD2FB7" wp14:editId="1211D9EE">
          <wp:simplePos x="0" y="0"/>
          <wp:positionH relativeFrom="column">
            <wp:posOffset>-126998</wp:posOffset>
          </wp:positionH>
          <wp:positionV relativeFrom="paragraph">
            <wp:posOffset>-44560</wp:posOffset>
          </wp:positionV>
          <wp:extent cx="3432010" cy="665382"/>
          <wp:effectExtent l="0" t="0" r="0" b="0"/>
          <wp:wrapNone/>
          <wp:docPr id="26" name="image1.png" descr="2 logotypy. Od lewej: Instytutu Badań Edukacyjnych - Państwowego Instytutu Badawczego oraz Zintegrowanego Systemu Kwalifikacji."/>
          <wp:cNvGraphicFramePr/>
          <a:graphic xmlns:a="http://schemas.openxmlformats.org/drawingml/2006/main">
            <a:graphicData uri="http://schemas.openxmlformats.org/drawingml/2006/picture">
              <pic:pic xmlns:pic="http://schemas.openxmlformats.org/drawingml/2006/picture">
                <pic:nvPicPr>
                  <pic:cNvPr id="26" name="image1.png" descr="2 logotypy. Od lewej: Instytutu Badań Edukacyjnych - Państwowego Instytutu Badawczego oraz Zintegrowanego Systemu Kwalifikacji."/>
                  <pic:cNvPicPr preferRelativeResize="0"/>
                </pic:nvPicPr>
                <pic:blipFill>
                  <a:blip r:embed="rId1"/>
                  <a:srcRect/>
                  <a:stretch>
                    <a:fillRect/>
                  </a:stretch>
                </pic:blipFill>
                <pic:spPr>
                  <a:xfrm>
                    <a:off x="0" y="0"/>
                    <a:ext cx="3432010" cy="665382"/>
                  </a:xfrm>
                  <a:prstGeom prst="rect">
                    <a:avLst/>
                  </a:prstGeom>
                  <a:ln/>
                </pic:spPr>
              </pic:pic>
            </a:graphicData>
          </a:graphic>
        </wp:anchor>
      </w:drawing>
    </w:r>
  </w:p>
  <w:p w14:paraId="5801289B" w14:textId="77777777" w:rsidR="00CD1F0D" w:rsidRDefault="00000000">
    <w:pPr>
      <w:ind w:firstLine="0"/>
      <w:jc w:val="right"/>
      <w:rPr>
        <w:rFonts w:ascii="Open Sans" w:eastAsia="Open Sans" w:hAnsi="Open Sans" w:cs="Open Sans"/>
        <w:sz w:val="17"/>
        <w:szCs w:val="17"/>
      </w:rPr>
    </w:pPr>
    <w:r>
      <w:rPr>
        <w:rFonts w:ascii="Open Sans" w:eastAsia="Open Sans" w:hAnsi="Open Sans" w:cs="Open Sans"/>
        <w:sz w:val="17"/>
        <w:szCs w:val="17"/>
      </w:rPr>
      <w:t>ibe@ibe.edu.pl | www.ibe.edu.pl</w:t>
    </w:r>
  </w:p>
  <w:p w14:paraId="3F7FAB95" w14:textId="77777777" w:rsidR="00CD1F0D" w:rsidRDefault="00000000">
    <w:pPr>
      <w:pBdr>
        <w:top w:val="nil"/>
        <w:left w:val="nil"/>
        <w:bottom w:val="nil"/>
        <w:right w:val="nil"/>
        <w:between w:val="nil"/>
      </w:pBdr>
      <w:ind w:firstLine="0"/>
      <w:jc w:val="right"/>
      <w:rPr>
        <w:rFonts w:ascii="Times New Roman" w:eastAsia="Times New Roman" w:hAnsi="Times New Roman" w:cs="Times New Roman"/>
        <w:color w:val="000000"/>
      </w:rPr>
    </w:pPr>
    <w:r>
      <w:rPr>
        <w:rFonts w:ascii="Open Sans" w:eastAsia="Open Sans" w:hAnsi="Open Sans" w:cs="Open Sans"/>
        <w:color w:val="000000"/>
        <w:sz w:val="17"/>
        <w:szCs w:val="17"/>
      </w:rPr>
      <w:t>ul. Górczewska 8, 01-180 Warszawa</w:t>
    </w:r>
    <w:r>
      <w:rPr>
        <w:rFonts w:ascii="Open Sans" w:eastAsia="Open Sans" w:hAnsi="Open Sans" w:cs="Open Sans"/>
        <w:color w:val="000000"/>
        <w:sz w:val="17"/>
        <w:szCs w:val="17"/>
      </w:rPr>
      <w:br/>
      <w:t xml:space="preserve"> +48 22 241 71 00 | NIP: 525-000-86-95</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063CD5"/>
    <w:multiLevelType w:val="hybridMultilevel"/>
    <w:tmpl w:val="DA9C3A56"/>
    <w:lvl w:ilvl="0" w:tplc="04150011">
      <w:start w:val="1"/>
      <w:numFmt w:val="decimal"/>
      <w:lvlText w:val="%1)"/>
      <w:lvlJc w:val="left"/>
      <w:pPr>
        <w:ind w:left="719" w:hanging="360"/>
      </w:pPr>
    </w:lvl>
    <w:lvl w:ilvl="1" w:tplc="04150019" w:tentative="1">
      <w:start w:val="1"/>
      <w:numFmt w:val="lowerLetter"/>
      <w:lvlText w:val="%2."/>
      <w:lvlJc w:val="left"/>
      <w:pPr>
        <w:ind w:left="1439" w:hanging="360"/>
      </w:pPr>
    </w:lvl>
    <w:lvl w:ilvl="2" w:tplc="0415001B" w:tentative="1">
      <w:start w:val="1"/>
      <w:numFmt w:val="lowerRoman"/>
      <w:lvlText w:val="%3."/>
      <w:lvlJc w:val="right"/>
      <w:pPr>
        <w:ind w:left="2159" w:hanging="180"/>
      </w:pPr>
    </w:lvl>
    <w:lvl w:ilvl="3" w:tplc="0415000F" w:tentative="1">
      <w:start w:val="1"/>
      <w:numFmt w:val="decimal"/>
      <w:lvlText w:val="%4."/>
      <w:lvlJc w:val="left"/>
      <w:pPr>
        <w:ind w:left="2879" w:hanging="360"/>
      </w:pPr>
    </w:lvl>
    <w:lvl w:ilvl="4" w:tplc="04150019" w:tentative="1">
      <w:start w:val="1"/>
      <w:numFmt w:val="lowerLetter"/>
      <w:lvlText w:val="%5."/>
      <w:lvlJc w:val="left"/>
      <w:pPr>
        <w:ind w:left="3599" w:hanging="360"/>
      </w:pPr>
    </w:lvl>
    <w:lvl w:ilvl="5" w:tplc="0415001B" w:tentative="1">
      <w:start w:val="1"/>
      <w:numFmt w:val="lowerRoman"/>
      <w:lvlText w:val="%6."/>
      <w:lvlJc w:val="right"/>
      <w:pPr>
        <w:ind w:left="4319" w:hanging="180"/>
      </w:pPr>
    </w:lvl>
    <w:lvl w:ilvl="6" w:tplc="0415000F" w:tentative="1">
      <w:start w:val="1"/>
      <w:numFmt w:val="decimal"/>
      <w:lvlText w:val="%7."/>
      <w:lvlJc w:val="left"/>
      <w:pPr>
        <w:ind w:left="5039" w:hanging="360"/>
      </w:pPr>
    </w:lvl>
    <w:lvl w:ilvl="7" w:tplc="04150019" w:tentative="1">
      <w:start w:val="1"/>
      <w:numFmt w:val="lowerLetter"/>
      <w:lvlText w:val="%8."/>
      <w:lvlJc w:val="left"/>
      <w:pPr>
        <w:ind w:left="5759" w:hanging="360"/>
      </w:pPr>
    </w:lvl>
    <w:lvl w:ilvl="8" w:tplc="0415001B" w:tentative="1">
      <w:start w:val="1"/>
      <w:numFmt w:val="lowerRoman"/>
      <w:lvlText w:val="%9."/>
      <w:lvlJc w:val="right"/>
      <w:pPr>
        <w:ind w:left="6479" w:hanging="180"/>
      </w:pPr>
    </w:lvl>
  </w:abstractNum>
  <w:abstractNum w:abstractNumId="1" w15:restartNumberingAfterBreak="0">
    <w:nsid w:val="36B32F02"/>
    <w:multiLevelType w:val="hybridMultilevel"/>
    <w:tmpl w:val="9BBAC1E0"/>
    <w:lvl w:ilvl="0" w:tplc="45984446">
      <w:start w:val="1"/>
      <w:numFmt w:val="decimal"/>
      <w:lvlText w:val="%1)"/>
      <w:lvlJc w:val="left"/>
      <w:pPr>
        <w:ind w:left="359" w:hanging="360"/>
      </w:pPr>
      <w:rPr>
        <w:rFonts w:hint="default"/>
      </w:rPr>
    </w:lvl>
    <w:lvl w:ilvl="1" w:tplc="04150019" w:tentative="1">
      <w:start w:val="1"/>
      <w:numFmt w:val="lowerLetter"/>
      <w:lvlText w:val="%2."/>
      <w:lvlJc w:val="left"/>
      <w:pPr>
        <w:ind w:left="1079" w:hanging="360"/>
      </w:pPr>
    </w:lvl>
    <w:lvl w:ilvl="2" w:tplc="0415001B" w:tentative="1">
      <w:start w:val="1"/>
      <w:numFmt w:val="lowerRoman"/>
      <w:lvlText w:val="%3."/>
      <w:lvlJc w:val="right"/>
      <w:pPr>
        <w:ind w:left="1799" w:hanging="180"/>
      </w:pPr>
    </w:lvl>
    <w:lvl w:ilvl="3" w:tplc="0415000F" w:tentative="1">
      <w:start w:val="1"/>
      <w:numFmt w:val="decimal"/>
      <w:lvlText w:val="%4."/>
      <w:lvlJc w:val="left"/>
      <w:pPr>
        <w:ind w:left="2519" w:hanging="360"/>
      </w:pPr>
    </w:lvl>
    <w:lvl w:ilvl="4" w:tplc="04150019" w:tentative="1">
      <w:start w:val="1"/>
      <w:numFmt w:val="lowerLetter"/>
      <w:lvlText w:val="%5."/>
      <w:lvlJc w:val="left"/>
      <w:pPr>
        <w:ind w:left="3239" w:hanging="360"/>
      </w:pPr>
    </w:lvl>
    <w:lvl w:ilvl="5" w:tplc="0415001B" w:tentative="1">
      <w:start w:val="1"/>
      <w:numFmt w:val="lowerRoman"/>
      <w:lvlText w:val="%6."/>
      <w:lvlJc w:val="right"/>
      <w:pPr>
        <w:ind w:left="3959" w:hanging="180"/>
      </w:pPr>
    </w:lvl>
    <w:lvl w:ilvl="6" w:tplc="0415000F" w:tentative="1">
      <w:start w:val="1"/>
      <w:numFmt w:val="decimal"/>
      <w:lvlText w:val="%7."/>
      <w:lvlJc w:val="left"/>
      <w:pPr>
        <w:ind w:left="4679" w:hanging="360"/>
      </w:pPr>
    </w:lvl>
    <w:lvl w:ilvl="7" w:tplc="04150019" w:tentative="1">
      <w:start w:val="1"/>
      <w:numFmt w:val="lowerLetter"/>
      <w:lvlText w:val="%8."/>
      <w:lvlJc w:val="left"/>
      <w:pPr>
        <w:ind w:left="5399" w:hanging="360"/>
      </w:pPr>
    </w:lvl>
    <w:lvl w:ilvl="8" w:tplc="0415001B" w:tentative="1">
      <w:start w:val="1"/>
      <w:numFmt w:val="lowerRoman"/>
      <w:lvlText w:val="%9."/>
      <w:lvlJc w:val="right"/>
      <w:pPr>
        <w:ind w:left="6119" w:hanging="180"/>
      </w:pPr>
    </w:lvl>
  </w:abstractNum>
  <w:abstractNum w:abstractNumId="2" w15:restartNumberingAfterBreak="0">
    <w:nsid w:val="5AF53EE2"/>
    <w:multiLevelType w:val="multilevel"/>
    <w:tmpl w:val="2B3E74F6"/>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3" w15:restartNumberingAfterBreak="0">
    <w:nsid w:val="6A005023"/>
    <w:multiLevelType w:val="multilevel"/>
    <w:tmpl w:val="32C0619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16cid:durableId="1641182116">
    <w:abstractNumId w:val="3"/>
  </w:num>
  <w:num w:numId="2" w16cid:durableId="259264301">
    <w:abstractNumId w:val="2"/>
  </w:num>
  <w:num w:numId="3" w16cid:durableId="787120063">
    <w:abstractNumId w:val="0"/>
  </w:num>
  <w:num w:numId="4" w16cid:durableId="44631993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proofState w:spelling="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D1F0D"/>
    <w:rsid w:val="00170634"/>
    <w:rsid w:val="00346E4A"/>
    <w:rsid w:val="00A15928"/>
    <w:rsid w:val="00CD1F0D"/>
    <w:rsid w:val="00DE486D"/>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2B10C2"/>
  <w15:docId w15:val="{B0C8C238-0A90-453A-BFC6-95B3D0FDFC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4"/>
        <w:szCs w:val="24"/>
        <w:lang w:val="pt-PT" w:eastAsia="pl-PL" w:bidi="ar-SA"/>
      </w:rPr>
    </w:rPrDefault>
    <w:pPrDefault>
      <w:pPr>
        <w:ind w:hanging="1"/>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paragraph" w:styleId="Nagwek1">
    <w:name w:val="heading 1"/>
    <w:basedOn w:val="Normalny"/>
    <w:next w:val="Normalny"/>
    <w:uiPriority w:val="9"/>
    <w:qFormat/>
    <w:pPr>
      <w:keepNext/>
      <w:keepLines/>
      <w:pBdr>
        <w:top w:val="nil"/>
        <w:left w:val="nil"/>
        <w:bottom w:val="nil"/>
        <w:right w:val="nil"/>
        <w:between w:val="nil"/>
      </w:pBdr>
      <w:spacing w:before="480" w:after="120"/>
      <w:outlineLvl w:val="0"/>
    </w:pPr>
    <w:rPr>
      <w:b/>
      <w:bCs/>
      <w:color w:val="000000"/>
      <w:sz w:val="28"/>
      <w:szCs w:val="28"/>
    </w:rPr>
  </w:style>
  <w:style w:type="paragraph" w:styleId="Nagwek2">
    <w:name w:val="heading 2"/>
    <w:basedOn w:val="Normalny"/>
    <w:next w:val="Normalny"/>
    <w:uiPriority w:val="9"/>
    <w:unhideWhenUsed/>
    <w:qFormat/>
    <w:pPr>
      <w:keepNext/>
      <w:keepLines/>
      <w:pBdr>
        <w:top w:val="nil"/>
        <w:left w:val="nil"/>
        <w:bottom w:val="nil"/>
        <w:right w:val="nil"/>
        <w:between w:val="nil"/>
      </w:pBdr>
      <w:spacing w:before="360" w:after="80"/>
      <w:outlineLvl w:val="1"/>
    </w:pPr>
    <w:rPr>
      <w:b/>
      <w:bCs/>
      <w:color w:val="000000"/>
      <w:sz w:val="36"/>
      <w:szCs w:val="36"/>
    </w:rPr>
  </w:style>
  <w:style w:type="paragraph" w:styleId="Nagwek3">
    <w:name w:val="heading 3"/>
    <w:basedOn w:val="Normalny"/>
    <w:next w:val="Normalny"/>
    <w:uiPriority w:val="9"/>
    <w:semiHidden/>
    <w:unhideWhenUsed/>
    <w:qFormat/>
    <w:pPr>
      <w:keepNext/>
      <w:keepLines/>
      <w:pBdr>
        <w:top w:val="nil"/>
        <w:left w:val="nil"/>
        <w:bottom w:val="nil"/>
        <w:right w:val="nil"/>
        <w:between w:val="nil"/>
      </w:pBdr>
      <w:spacing w:before="280" w:after="80"/>
      <w:outlineLvl w:val="2"/>
    </w:pPr>
    <w:rPr>
      <w:b/>
      <w:bCs/>
      <w:color w:val="000000"/>
      <w:sz w:val="28"/>
      <w:szCs w:val="28"/>
    </w:rPr>
  </w:style>
  <w:style w:type="paragraph" w:styleId="Nagwek4">
    <w:name w:val="heading 4"/>
    <w:basedOn w:val="Normalny"/>
    <w:next w:val="Normalny"/>
    <w:uiPriority w:val="9"/>
    <w:semiHidden/>
    <w:unhideWhenUsed/>
    <w:qFormat/>
    <w:pPr>
      <w:keepNext/>
      <w:keepLines/>
      <w:pBdr>
        <w:top w:val="nil"/>
        <w:left w:val="nil"/>
        <w:bottom w:val="nil"/>
        <w:right w:val="nil"/>
        <w:between w:val="nil"/>
      </w:pBdr>
      <w:spacing w:before="240" w:after="40"/>
      <w:outlineLvl w:val="3"/>
    </w:pPr>
    <w:rPr>
      <w:b/>
      <w:bCs/>
      <w:color w:val="000000"/>
    </w:rPr>
  </w:style>
  <w:style w:type="paragraph" w:styleId="Nagwek5">
    <w:name w:val="heading 5"/>
    <w:basedOn w:val="Normalny"/>
    <w:next w:val="Normalny"/>
    <w:uiPriority w:val="9"/>
    <w:semiHidden/>
    <w:unhideWhenUsed/>
    <w:qFormat/>
    <w:pPr>
      <w:keepNext/>
      <w:keepLines/>
      <w:pBdr>
        <w:top w:val="nil"/>
        <w:left w:val="nil"/>
        <w:bottom w:val="nil"/>
        <w:right w:val="nil"/>
        <w:between w:val="nil"/>
      </w:pBdr>
      <w:spacing w:before="220" w:after="40"/>
      <w:outlineLvl w:val="4"/>
    </w:pPr>
    <w:rPr>
      <w:b/>
      <w:bCs/>
      <w:color w:val="000000"/>
      <w:sz w:val="22"/>
      <w:szCs w:val="22"/>
    </w:rPr>
  </w:style>
  <w:style w:type="paragraph" w:styleId="Nagwek6">
    <w:name w:val="heading 6"/>
    <w:basedOn w:val="Normalny"/>
    <w:next w:val="Normalny"/>
    <w:uiPriority w:val="9"/>
    <w:semiHidden/>
    <w:unhideWhenUsed/>
    <w:qFormat/>
    <w:pPr>
      <w:keepNext/>
      <w:keepLines/>
      <w:pBdr>
        <w:top w:val="nil"/>
        <w:left w:val="nil"/>
        <w:bottom w:val="nil"/>
        <w:right w:val="nil"/>
        <w:between w:val="nil"/>
      </w:pBdr>
      <w:spacing w:before="200" w:after="40"/>
      <w:outlineLvl w:val="5"/>
    </w:pPr>
    <w:rPr>
      <w:b/>
      <w:bCs/>
      <w:color w:val="00000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ytu">
    <w:name w:val="Title"/>
    <w:basedOn w:val="Normalny"/>
    <w:next w:val="Normalny"/>
    <w:uiPriority w:val="10"/>
    <w:qFormat/>
    <w:pPr>
      <w:pBdr>
        <w:top w:val="nil"/>
        <w:left w:val="nil"/>
        <w:bottom w:val="nil"/>
        <w:right w:val="nil"/>
        <w:between w:val="nil"/>
      </w:pBdr>
      <w:spacing w:after="160"/>
      <w:jc w:val="center"/>
    </w:pPr>
    <w:rPr>
      <w:color w:val="4F81BD"/>
      <w:sz w:val="54"/>
      <w:szCs w:val="54"/>
    </w:rPr>
  </w:style>
  <w:style w:type="table" w:customStyle="1" w:styleId="TableNormal0">
    <w:name w:val="TableNormal"/>
    <w:tblPr>
      <w:tblCellMar>
        <w:top w:w="100" w:type="dxa"/>
        <w:left w:w="100" w:type="dxa"/>
        <w:bottom w:w="100" w:type="dxa"/>
        <w:right w:w="100" w:type="dxa"/>
      </w:tblCellMar>
    </w:tblPr>
  </w:style>
  <w:style w:type="table" w:customStyle="1" w:styleId="TableNormal1">
    <w:name w:val="TableNormal"/>
    <w:tblPr>
      <w:tblCellMar>
        <w:top w:w="100" w:type="dxa"/>
        <w:left w:w="100" w:type="dxa"/>
        <w:bottom w:w="100" w:type="dxa"/>
        <w:right w:w="100" w:type="dxa"/>
      </w:tblCellMar>
    </w:tblPr>
  </w:style>
  <w:style w:type="table" w:customStyle="1" w:styleId="TableNormal2">
    <w:name w:val="TableNormal"/>
    <w:tblPr>
      <w:tblCellMar>
        <w:top w:w="100" w:type="dxa"/>
        <w:left w:w="100" w:type="dxa"/>
        <w:bottom w:w="100" w:type="dxa"/>
        <w:right w:w="100" w:type="dxa"/>
      </w:tblCellMar>
    </w:tblPr>
  </w:style>
  <w:style w:type="table" w:customStyle="1" w:styleId="TableNormal3">
    <w:name w:val="TableNormal"/>
    <w:tblPr>
      <w:tblCellMar>
        <w:top w:w="100" w:type="dxa"/>
        <w:left w:w="100" w:type="dxa"/>
        <w:bottom w:w="100" w:type="dxa"/>
        <w:right w:w="100" w:type="dxa"/>
      </w:tblCellMar>
    </w:tblPr>
  </w:style>
  <w:style w:type="table" w:customStyle="1" w:styleId="TableNormal4">
    <w:name w:val="TableNormal"/>
    <w:tblPr>
      <w:tblCellMar>
        <w:top w:w="100" w:type="dxa"/>
        <w:left w:w="100" w:type="dxa"/>
        <w:bottom w:w="100" w:type="dxa"/>
        <w:right w:w="100" w:type="dxa"/>
      </w:tblCellMar>
    </w:tblPr>
  </w:style>
  <w:style w:type="table" w:customStyle="1" w:styleId="TableNormal5">
    <w:name w:val="Table Normal"/>
    <w:tblPr>
      <w:tblCellMar>
        <w:top w:w="0" w:type="dxa"/>
        <w:left w:w="0" w:type="dxa"/>
        <w:bottom w:w="0" w:type="dxa"/>
        <w:right w:w="0" w:type="dxa"/>
      </w:tblCellMar>
    </w:tblPr>
  </w:style>
  <w:style w:type="table" w:customStyle="1" w:styleId="TableNormal6">
    <w:name w:val="Table Normal"/>
    <w:tblPr>
      <w:tblCellMar>
        <w:top w:w="0" w:type="dxa"/>
        <w:left w:w="0" w:type="dxa"/>
        <w:bottom w:w="0" w:type="dxa"/>
        <w:right w:w="0" w:type="dxa"/>
      </w:tblCellMar>
    </w:tblPr>
  </w:style>
  <w:style w:type="table" w:customStyle="1" w:styleId="TableNormal7">
    <w:name w:val="Table Normal"/>
    <w:tblPr>
      <w:tblCellMar>
        <w:top w:w="0" w:type="dxa"/>
        <w:left w:w="0" w:type="dxa"/>
        <w:bottom w:w="0" w:type="dxa"/>
        <w:right w:w="0" w:type="dxa"/>
      </w:tblCellMar>
    </w:tblPr>
  </w:style>
  <w:style w:type="table" w:customStyle="1" w:styleId="TableNormal8">
    <w:name w:val="Table Normal"/>
    <w:tblPr>
      <w:tblCellMar>
        <w:top w:w="0" w:type="dxa"/>
        <w:left w:w="0" w:type="dxa"/>
        <w:bottom w:w="0" w:type="dxa"/>
        <w:right w:w="0" w:type="dxa"/>
      </w:tblCellMar>
    </w:tblPr>
  </w:style>
  <w:style w:type="table" w:customStyle="1" w:styleId="TableNormal9">
    <w:name w:val="Table Normal"/>
    <w:tblPr>
      <w:tblCellMar>
        <w:top w:w="0" w:type="dxa"/>
        <w:left w:w="0" w:type="dxa"/>
        <w:bottom w:w="0" w:type="dxa"/>
        <w:right w:w="0" w:type="dxa"/>
      </w:tblCellMar>
    </w:tblPr>
  </w:style>
  <w:style w:type="table" w:customStyle="1" w:styleId="TableNormala">
    <w:name w:val="Table Normal"/>
    <w:tblPr>
      <w:tblCellMar>
        <w:top w:w="0" w:type="dxa"/>
        <w:left w:w="0" w:type="dxa"/>
        <w:bottom w:w="0" w:type="dxa"/>
        <w:right w:w="0" w:type="dxa"/>
      </w:tblCellMar>
    </w:tblPr>
  </w:style>
  <w:style w:type="table" w:customStyle="1" w:styleId="TableNormalb">
    <w:name w:val="Table Normal"/>
    <w:tblPr>
      <w:tblCellMar>
        <w:top w:w="0" w:type="dxa"/>
        <w:left w:w="0" w:type="dxa"/>
        <w:bottom w:w="0" w:type="dxa"/>
        <w:right w:w="0" w:type="dxa"/>
      </w:tblCellMar>
    </w:tblPr>
  </w:style>
  <w:style w:type="table" w:customStyle="1" w:styleId="TableNormalc">
    <w:name w:val="Table Normal"/>
    <w:tblPr>
      <w:tblCellMar>
        <w:top w:w="0" w:type="dxa"/>
        <w:left w:w="0" w:type="dxa"/>
        <w:bottom w:w="0" w:type="dxa"/>
        <w:right w:w="0" w:type="dxa"/>
      </w:tblCellMar>
    </w:tblPr>
  </w:style>
  <w:style w:type="table" w:customStyle="1" w:styleId="TableNormald">
    <w:name w:val="Table Normal"/>
    <w:tblPr>
      <w:tblCellMar>
        <w:top w:w="0" w:type="dxa"/>
        <w:left w:w="0" w:type="dxa"/>
        <w:bottom w:w="0" w:type="dxa"/>
        <w:right w:w="0" w:type="dxa"/>
      </w:tblCellMar>
    </w:tblPr>
  </w:style>
  <w:style w:type="table" w:customStyle="1" w:styleId="TableNormale">
    <w:name w:val="Table Normal"/>
    <w:tblPr>
      <w:tblCellMar>
        <w:top w:w="0" w:type="dxa"/>
        <w:left w:w="0" w:type="dxa"/>
        <w:bottom w:w="0" w:type="dxa"/>
        <w:right w:w="0" w:type="dxa"/>
      </w:tblCellMar>
    </w:tblPr>
  </w:style>
  <w:style w:type="table" w:customStyle="1" w:styleId="TableNormalf">
    <w:name w:val="Table Normal"/>
    <w:tblPr>
      <w:tblCellMar>
        <w:top w:w="0" w:type="dxa"/>
        <w:left w:w="0" w:type="dxa"/>
        <w:bottom w:w="0" w:type="dxa"/>
        <w:right w:w="0" w:type="dxa"/>
      </w:tblCellMar>
    </w:tblPr>
  </w:style>
  <w:style w:type="table" w:customStyle="1" w:styleId="TableNormalf0">
    <w:name w:val="Table Normal"/>
    <w:tblPr>
      <w:tblCellMar>
        <w:top w:w="0" w:type="dxa"/>
        <w:left w:w="0" w:type="dxa"/>
        <w:bottom w:w="0" w:type="dxa"/>
        <w:right w:w="0" w:type="dxa"/>
      </w:tblCellMar>
    </w:tblPr>
  </w:style>
  <w:style w:type="paragraph" w:customStyle="1" w:styleId="Normalny1">
    <w:name w:val="Normalny1"/>
    <w:rsid w:val="001E7170"/>
  </w:style>
  <w:style w:type="table" w:customStyle="1" w:styleId="TableNormalf1">
    <w:name w:val="Table Normal"/>
    <w:rsid w:val="001E7170"/>
    <w:tblPr>
      <w:tblCellMar>
        <w:top w:w="0" w:type="dxa"/>
        <w:left w:w="0" w:type="dxa"/>
        <w:bottom w:w="0" w:type="dxa"/>
        <w:right w:w="0" w:type="dxa"/>
      </w:tblCellMar>
    </w:tblPr>
  </w:style>
  <w:style w:type="paragraph" w:styleId="Nagwek">
    <w:name w:val="header"/>
    <w:rsid w:val="001E7170"/>
  </w:style>
  <w:style w:type="paragraph" w:styleId="Stopka">
    <w:name w:val="footer"/>
    <w:rsid w:val="001E7170"/>
  </w:style>
  <w:style w:type="paragraph" w:styleId="NormalnyWeb">
    <w:name w:val="Normal (Web)"/>
    <w:uiPriority w:val="99"/>
    <w:rsid w:val="001E7170"/>
    <w:pPr>
      <w:spacing w:before="100" w:beforeAutospacing="1" w:after="100" w:afterAutospacing="1"/>
    </w:pPr>
  </w:style>
  <w:style w:type="character" w:styleId="Hipercze">
    <w:name w:val="Hyperlink"/>
    <w:rsid w:val="001E7170"/>
    <w:rPr>
      <w:color w:val="0000FF"/>
      <w:w w:val="100"/>
      <w:position w:val="-1"/>
      <w:u w:val="single"/>
      <w:effect w:val="none"/>
      <w:vertAlign w:val="baseline"/>
      <w:cs w:val="0"/>
      <w:em w:val="none"/>
    </w:rPr>
  </w:style>
  <w:style w:type="character" w:styleId="Pogrubienie">
    <w:name w:val="Strong"/>
    <w:rsid w:val="001E7170"/>
    <w:rPr>
      <w:b/>
      <w:bCs/>
      <w:w w:val="100"/>
      <w:position w:val="-1"/>
      <w:effect w:val="none"/>
      <w:vertAlign w:val="baseline"/>
      <w:cs w:val="0"/>
      <w:em w:val="none"/>
    </w:rPr>
  </w:style>
  <w:style w:type="paragraph" w:customStyle="1" w:styleId="Kolorowalistaakcent11">
    <w:name w:val="Kolorowa lista — akcent 11"/>
    <w:rsid w:val="001E7170"/>
    <w:pPr>
      <w:spacing w:after="200" w:line="276" w:lineRule="auto"/>
      <w:ind w:left="720"/>
      <w:contextualSpacing/>
    </w:pPr>
    <w:rPr>
      <w:sz w:val="22"/>
      <w:szCs w:val="22"/>
      <w:lang w:val="pl-PL" w:eastAsia="en-US"/>
    </w:rPr>
  </w:style>
  <w:style w:type="paragraph" w:styleId="Tekstdymka">
    <w:name w:val="Balloon Text"/>
    <w:rsid w:val="001E7170"/>
    <w:rPr>
      <w:rFonts w:ascii="Lucida Grande CE" w:hAnsi="Lucida Grande CE"/>
      <w:sz w:val="18"/>
      <w:szCs w:val="18"/>
    </w:rPr>
  </w:style>
  <w:style w:type="character" w:customStyle="1" w:styleId="TekstdymkaZnak">
    <w:name w:val="Tekst dymka Znak"/>
    <w:rsid w:val="001E7170"/>
    <w:rPr>
      <w:rFonts w:ascii="Lucida Grande CE" w:hAnsi="Lucida Grande CE"/>
      <w:w w:val="100"/>
      <w:position w:val="-1"/>
      <w:sz w:val="18"/>
      <w:szCs w:val="18"/>
      <w:effect w:val="none"/>
      <w:vertAlign w:val="baseline"/>
      <w:cs w:val="0"/>
      <w:em w:val="none"/>
      <w:lang w:val="pt-PT" w:eastAsia="pt-PT"/>
    </w:rPr>
  </w:style>
  <w:style w:type="table" w:customStyle="1" w:styleId="a">
    <w:basedOn w:val="TableNormalf1"/>
    <w:rsid w:val="001E7170"/>
    <w:tblPr>
      <w:tblStyleRowBandSize w:val="1"/>
      <w:tblStyleColBandSize w:val="1"/>
      <w:tblCellMar>
        <w:left w:w="108" w:type="dxa"/>
        <w:right w:w="108" w:type="dxa"/>
      </w:tblCellMar>
    </w:tblPr>
  </w:style>
  <w:style w:type="table" w:customStyle="1" w:styleId="a0">
    <w:basedOn w:val="TableNormalf1"/>
    <w:tblPr>
      <w:tblStyleRowBandSize w:val="1"/>
      <w:tblStyleColBandSize w:val="1"/>
      <w:tblCellMar>
        <w:left w:w="108" w:type="dxa"/>
        <w:right w:w="108" w:type="dxa"/>
      </w:tblCellMar>
    </w:tblPr>
  </w:style>
  <w:style w:type="table" w:customStyle="1" w:styleId="a1">
    <w:basedOn w:val="TableNormalf1"/>
    <w:tblPr>
      <w:tblStyleRowBandSize w:val="1"/>
      <w:tblStyleColBandSize w:val="1"/>
      <w:tblCellMar>
        <w:left w:w="108" w:type="dxa"/>
        <w:right w:w="108" w:type="dxa"/>
      </w:tblCellMar>
    </w:tblPr>
  </w:style>
  <w:style w:type="table" w:customStyle="1" w:styleId="a2">
    <w:basedOn w:val="TableNormalf1"/>
    <w:tblPr>
      <w:tblStyleRowBandSize w:val="1"/>
      <w:tblStyleColBandSize w:val="1"/>
      <w:tblCellMar>
        <w:left w:w="108" w:type="dxa"/>
        <w:right w:w="108" w:type="dxa"/>
      </w:tblCellMar>
    </w:tblPr>
  </w:style>
  <w:style w:type="table" w:customStyle="1" w:styleId="a3">
    <w:basedOn w:val="TableNormalf1"/>
    <w:tblPr>
      <w:tblStyleRowBandSize w:val="1"/>
      <w:tblStyleColBandSize w:val="1"/>
      <w:tblCellMar>
        <w:left w:w="108" w:type="dxa"/>
        <w:right w:w="108" w:type="dxa"/>
      </w:tblCellMar>
    </w:tblPr>
  </w:style>
  <w:style w:type="table" w:customStyle="1" w:styleId="a4">
    <w:basedOn w:val="TableNormalf1"/>
    <w:tblPr>
      <w:tblStyleRowBandSize w:val="1"/>
      <w:tblStyleColBandSize w:val="1"/>
      <w:tblCellMar>
        <w:left w:w="108" w:type="dxa"/>
        <w:right w:w="108" w:type="dxa"/>
      </w:tblCellMar>
    </w:tblPr>
  </w:style>
  <w:style w:type="table" w:customStyle="1" w:styleId="a5">
    <w:basedOn w:val="TableNormalf1"/>
    <w:tblPr>
      <w:tblStyleRowBandSize w:val="1"/>
      <w:tblStyleColBandSize w:val="1"/>
      <w:tblCellMar>
        <w:left w:w="108" w:type="dxa"/>
        <w:right w:w="108" w:type="dxa"/>
      </w:tblCellMar>
    </w:tblPr>
  </w:style>
  <w:style w:type="table" w:customStyle="1" w:styleId="a6">
    <w:basedOn w:val="TableNormalf1"/>
    <w:tblPr>
      <w:tblStyleRowBandSize w:val="1"/>
      <w:tblStyleColBandSize w:val="1"/>
      <w:tblCellMar>
        <w:left w:w="108" w:type="dxa"/>
        <w:right w:w="108" w:type="dxa"/>
      </w:tblCellMar>
    </w:tblPr>
  </w:style>
  <w:style w:type="table" w:customStyle="1" w:styleId="a7">
    <w:basedOn w:val="TableNormalb"/>
    <w:tblPr>
      <w:tblStyleRowBandSize w:val="1"/>
      <w:tblStyleColBandSize w:val="1"/>
      <w:tblCellMar>
        <w:left w:w="108" w:type="dxa"/>
        <w:right w:w="108" w:type="dxa"/>
      </w:tblCellMar>
    </w:tblPr>
  </w:style>
  <w:style w:type="table" w:customStyle="1" w:styleId="a8">
    <w:basedOn w:val="TableNormalb"/>
    <w:tblPr>
      <w:tblStyleRowBandSize w:val="1"/>
      <w:tblStyleColBandSize w:val="1"/>
      <w:tblCellMar>
        <w:left w:w="108" w:type="dxa"/>
        <w:right w:w="108" w:type="dxa"/>
      </w:tblCellMar>
    </w:tblPr>
  </w:style>
  <w:style w:type="table" w:customStyle="1" w:styleId="a9">
    <w:basedOn w:val="TableNormala"/>
    <w:tblPr>
      <w:tblStyleRowBandSize w:val="1"/>
      <w:tblStyleColBandSize w:val="1"/>
      <w:tblCellMar>
        <w:left w:w="108" w:type="dxa"/>
        <w:right w:w="108" w:type="dxa"/>
      </w:tblCellMar>
    </w:tblPr>
  </w:style>
  <w:style w:type="table" w:customStyle="1" w:styleId="aa">
    <w:basedOn w:val="TableNormala"/>
    <w:tblPr>
      <w:tblStyleRowBandSize w:val="1"/>
      <w:tblStyleColBandSize w:val="1"/>
      <w:tblCellMar>
        <w:left w:w="108" w:type="dxa"/>
        <w:right w:w="108" w:type="dxa"/>
      </w:tblCellMar>
    </w:tblPr>
  </w:style>
  <w:style w:type="table" w:customStyle="1" w:styleId="ab">
    <w:basedOn w:val="TableNormal8"/>
    <w:tblPr>
      <w:tblStyleRowBandSize w:val="1"/>
      <w:tblStyleColBandSize w:val="1"/>
      <w:tblCellMar>
        <w:left w:w="108" w:type="dxa"/>
        <w:right w:w="108" w:type="dxa"/>
      </w:tblCellMar>
    </w:tblPr>
  </w:style>
  <w:style w:type="table" w:customStyle="1" w:styleId="ac">
    <w:basedOn w:val="TableNormal7"/>
    <w:tblPr>
      <w:tblStyleRowBandSize w:val="1"/>
      <w:tblStyleColBandSize w:val="1"/>
      <w:tblCellMar>
        <w:left w:w="108" w:type="dxa"/>
        <w:right w:w="108" w:type="dxa"/>
      </w:tblCellMar>
    </w:tblPr>
  </w:style>
  <w:style w:type="table" w:customStyle="1" w:styleId="ad">
    <w:basedOn w:val="TableNormal5"/>
    <w:tblPr>
      <w:tblStyleRowBandSize w:val="1"/>
      <w:tblStyleColBandSize w:val="1"/>
    </w:tblPr>
  </w:style>
  <w:style w:type="table" w:customStyle="1" w:styleId="ae">
    <w:basedOn w:val="TableNormal5"/>
    <w:tblPr>
      <w:tblStyleRowBandSize w:val="1"/>
      <w:tblStyleColBandSize w:val="1"/>
    </w:tblPr>
  </w:style>
  <w:style w:type="table" w:customStyle="1" w:styleId="af">
    <w:basedOn w:val="TableNormal5"/>
    <w:tblPr>
      <w:tblStyleRowBandSize w:val="1"/>
      <w:tblStyleColBandSize w:val="1"/>
    </w:tblPr>
  </w:style>
  <w:style w:type="table" w:customStyle="1" w:styleId="af0">
    <w:basedOn w:val="TableNormal5"/>
    <w:tblPr>
      <w:tblStyleRowBandSize w:val="1"/>
      <w:tblStyleColBandSize w:val="1"/>
    </w:tblPr>
  </w:style>
  <w:style w:type="character" w:customStyle="1" w:styleId="apple-tab-span">
    <w:name w:val="apple-tab-span"/>
    <w:basedOn w:val="Domylnaczcionkaakapitu"/>
    <w:rsid w:val="00110582"/>
  </w:style>
  <w:style w:type="paragraph" w:styleId="Akapitzlist">
    <w:name w:val="List Paragraph"/>
    <w:uiPriority w:val="34"/>
    <w:qFormat/>
    <w:rsid w:val="00110582"/>
    <w:pPr>
      <w:ind w:left="720"/>
      <w:contextualSpacing/>
    </w:pPr>
  </w:style>
  <w:style w:type="table" w:styleId="Tabela-Siatka">
    <w:name w:val="Table Grid"/>
    <w:basedOn w:val="Standardowy"/>
    <w:uiPriority w:val="39"/>
    <w:rsid w:val="0011058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Odwoaniedokomentarza">
    <w:name w:val="annotation reference"/>
    <w:basedOn w:val="Domylnaczcionkaakapitu"/>
    <w:uiPriority w:val="99"/>
    <w:semiHidden/>
    <w:unhideWhenUsed/>
    <w:rsid w:val="00110582"/>
    <w:rPr>
      <w:sz w:val="16"/>
      <w:szCs w:val="16"/>
    </w:rPr>
  </w:style>
  <w:style w:type="paragraph" w:styleId="Tekstkomentarza">
    <w:name w:val="annotation text"/>
    <w:link w:val="TekstkomentarzaZnak"/>
    <w:uiPriority w:val="99"/>
    <w:semiHidden/>
    <w:unhideWhenUsed/>
    <w:rsid w:val="00110582"/>
    <w:rPr>
      <w:sz w:val="20"/>
      <w:szCs w:val="20"/>
    </w:rPr>
  </w:style>
  <w:style w:type="character" w:customStyle="1" w:styleId="TekstkomentarzaZnak">
    <w:name w:val="Tekst komentarza Znak"/>
    <w:basedOn w:val="Domylnaczcionkaakapitu"/>
    <w:link w:val="Tekstkomentarza"/>
    <w:uiPriority w:val="99"/>
    <w:semiHidden/>
    <w:rsid w:val="00110582"/>
    <w:rPr>
      <w:rFonts w:ascii="Calibri" w:hAnsi="Calibri"/>
      <w:sz w:val="20"/>
      <w:szCs w:val="20"/>
    </w:rPr>
  </w:style>
  <w:style w:type="paragraph" w:styleId="Tematkomentarza">
    <w:name w:val="annotation subject"/>
    <w:basedOn w:val="Tekstkomentarza"/>
    <w:next w:val="Tekstkomentarza"/>
    <w:link w:val="TematkomentarzaZnak"/>
    <w:uiPriority w:val="99"/>
    <w:semiHidden/>
    <w:unhideWhenUsed/>
    <w:rsid w:val="00110582"/>
    <w:rPr>
      <w:b/>
      <w:bCs/>
    </w:rPr>
  </w:style>
  <w:style w:type="character" w:customStyle="1" w:styleId="TematkomentarzaZnak">
    <w:name w:val="Temat komentarza Znak"/>
    <w:basedOn w:val="TekstkomentarzaZnak"/>
    <w:link w:val="Tematkomentarza"/>
    <w:uiPriority w:val="99"/>
    <w:semiHidden/>
    <w:rsid w:val="00110582"/>
    <w:rPr>
      <w:rFonts w:ascii="Calibri" w:hAnsi="Calibri"/>
      <w:b/>
      <w:bCs/>
      <w:sz w:val="20"/>
      <w:szCs w:val="20"/>
    </w:rPr>
  </w:style>
  <w:style w:type="paragraph" w:styleId="Poprawka">
    <w:name w:val="Revision"/>
    <w:hidden/>
    <w:uiPriority w:val="99"/>
    <w:semiHidden/>
    <w:rsid w:val="00110582"/>
    <w:pPr>
      <w:ind w:firstLine="0"/>
    </w:pPr>
  </w:style>
  <w:style w:type="table" w:customStyle="1" w:styleId="af1">
    <w:basedOn w:val="TableNormal1"/>
    <w:tblPr>
      <w:tblStyleRowBandSize w:val="1"/>
      <w:tblStyleColBandSize w:val="1"/>
      <w:tblCellMar>
        <w:top w:w="0" w:type="dxa"/>
        <w:left w:w="108" w:type="dxa"/>
        <w:bottom w:w="0" w:type="dxa"/>
        <w:right w:w="108" w:type="dxa"/>
      </w:tblCellMar>
    </w:tblPr>
  </w:style>
  <w:style w:type="paragraph" w:styleId="Podtytu">
    <w:name w:val="Subtitle"/>
    <w:basedOn w:val="Normalny"/>
    <w:next w:val="Normalny"/>
    <w:uiPriority w:val="11"/>
    <w:qFormat/>
    <w:pPr>
      <w:keepNext/>
      <w:keepLines/>
      <w:pBdr>
        <w:top w:val="nil"/>
        <w:left w:val="nil"/>
        <w:bottom w:val="nil"/>
        <w:right w:val="nil"/>
        <w:between w:val="nil"/>
      </w:pBdr>
      <w:spacing w:before="360" w:after="80"/>
      <w:ind w:firstLine="0"/>
    </w:pPr>
    <w:rPr>
      <w:rFonts w:ascii="Georgia" w:eastAsia="Georgia" w:hAnsi="Georgia" w:cs="Georgia"/>
      <w:i/>
      <w:iCs/>
      <w:color w:val="666666"/>
      <w:sz w:val="48"/>
      <w:szCs w:val="48"/>
    </w:rPr>
  </w:style>
  <w:style w:type="table" w:customStyle="1" w:styleId="af2">
    <w:basedOn w:val="TableNormal1"/>
    <w:tblPr>
      <w:tblStyleRowBandSize w:val="1"/>
      <w:tblStyleColBandSize w:val="1"/>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s://ibe.edu.pl/pl/biblioteka-ibe/zsk-biblioteka/3842-rekomendacje-w-zakresie-funkcjonowania-instytucji-certyfikujacych-w-zintegrowanym-systemie-kwalifikacji"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kwalifikacje.gov.pl/images/downloads/materia%C5%82y_do_serwisu_ZSK/kategoria_materia%C5%82y_pomocnicze/IC/Informacje_dla_ic_posiadaj%C4%85cych_uprawnienia/1._Materia%C5%82_IBE-PIB_propozycja_uk%C5%82adu_strony_informujacej_o_walidacji_01.2025.pdf" TargetMode="External"/><Relationship Id="rId14" Type="http://schemas.openxmlformats.org/officeDocument/2006/relationships/header" Target="header3.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footer3.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uJCoQuVw7x/yczeYBqmk24yzEMA==">CgMxLjA4AGo3ChRzdWdnZXN0LjhtZHlpNGk4d3Z6OBIfSm9hbm5hIEFsZWtzacWEc2thLU1pa2/FgmFqY3p5a2o3ChRzdWdnZXN0LmUzMnVvMDI3dXoyOBIfSm9hbm5hIEFsZWtzacWEc2thLU1pa2/FgmFqY3p5a2o3ChRzdWdnZXN0LjR1a3YzMndnNnc2ZRIfSm9hbm5hIEFsZWtzacWEc2thLU1pa2/FgmFqY3p5a2o3ChRzdWdnZXN0LnRoZG52eDg0b2txORIfSm9hbm5hIEFsZWtzacWEc2thLU1pa2/FgmFqY3p5a2o2ChNzdWdnZXN0LjU3ZXBpYzUyc25yEh9Kb2FubmEgQWxla3NpxYRza2EtTWlrb8WCYWpjenlrajcKFHN1Z2dlc3Qub2M0cDd4djR6dW5kEh9Kb2FubmEgQWxla3NpxYRza2EtTWlrb8WCYWpjenlrajcKFHN1Z2dlc3QucjJrbWZqYmMwaGRwEh9Kb2FubmEgQWxla3NpxYRza2EtTWlrb8WCYWpjenlrajcKFHN1Z2dlc3QueGNxdmdkMml0N3UxEh9Kb2FubmEgQWxla3NpxYRza2EtTWlrb8WCYWpjenlrajcKFHN1Z2dlc3QuMzhkaXBuYTVoOTNzEh9Kb2FubmEgQWxla3NpxYRza2EtTWlrb8WCYWpjenlrajcKFHN1Z2dlc3QuMzhmd3JsOXg1c3JwEh9Kb2FubmEgQWxla3NpxYRza2EtTWlrb8WCYWpjenlrai0KFHN1Z2dlc3Qub2FiZTMxemQ5c2dpEhVBbGVrc2FuZHJhIEJyem96b3dza2FqNwoUc3VnZ2VzdC5qZGJ0N3dzN2toNjASH0pvYW5uYSBBbGVrc2nFhHNrYS1NaWtvxYJhamN6eWtqLQoUc3VnZ2VzdC5ucnBwNGI3bndhNjcSFUFsZWtzYW5kcmEgQnJ6b3pvd3NrYWo3ChRzdWdnZXN0LnFtZHd1YzNzb20yeBIfSm9hbm5hIEFsZWtzacWEc2thLU1pa2/FgmFqY3p5a2otChRzdWdnZXN0LnI3NzlqMmJ5cG1tdBIVQWxla3NhbmRyYSBCcnpvem93c2thajcKFHN1Z2dlc3QuYWF0ZXhlbXo5emEyEh9Kb2FubmEgQWxla3NpxYRza2EtTWlrb8WCYWpjenlrajcKFHN1Z2dlc3QuOGhiM2l1YXRwZ2Z1Eh9Kb2FubmEgQWxla3NpxYRza2EtTWlrb8WCYWpjenlrajcKFHN1Z2dlc3QueGFrZ3I0eDM0ODB0Eh9Kb2FubmEgQWxla3NpxYRza2EtTWlrb8WCYWpjenlrai0KFHN1Z2dlc3QuaDAwMGU3aDQzcTllEhVBbGVrc2FuZHJhIEJyem96b3dza2FqNwoUc3VnZ2VzdC53MDJlYnN3ZDh4MmQSH0pvYW5uYSBBbGVrc2nFhHNrYS1NaWtvxYJhamN6eWtqLQoUc3VnZ2VzdC5mZHdod3JncWpwdDQSFUFsZWtzYW5kcmEgQnJ6b3pvd3NrYWo2ChNzdWdnZXN0Lmh0cWEwNTM2amJ2Eh9Kb2FubmEgQWxla3NpxYRza2EtTWlrb8WCYWpjenlrai0KFHN1Z2dlc3Qucm42cmY3NnVnbzUxEhVBbGVrc2FuZHJhIEJyem96b3dza2FqLQoUc3VnZ2VzdC5mbHQxdDB5ZGM4bGkSFUFsZWtzYW5kcmEgQnJ6b3pvd3NrYWosChNzdWdnZXN0LmVlZmVjcmJ1ajU5EhVBbGVrc2FuZHJhIEJyem96b3dza2FqNwoUc3VnZ2VzdC40Z3JxMTJ4Ym85dWQSH0pvYW5uYSBBbGVrc2nFhHNrYS1NaWtvxYJhamN6eWtqLQoUc3VnZ2VzdC5pY2VmaHV5eG90eDgSFUFsZWtzYW5kcmEgQnJ6b3pvd3NrYWo3ChRzdWdnZXN0Ljl0YjNoaW53Y2Q5chIfSm9hbm5hIEFsZWtzacWEc2thLU1pa2/FgmFqY3p5a2o3ChRzdWdnZXN0LjhzeWJxYXVhaXI1ahIfSm9hbm5hIEFsZWtzacWEc2thLU1pa2/FgmFqY3p5a2o3ChRzdWdnZXN0LnMxNzB5cW1ncm41ORIfSm9hbm5hIEFsZWtzacWEc2thLU1pa2/FgmFqY3p5a2otChRzdWdnZXN0Lnpkb2NlNjFxMHRsMBIVQWxla3NhbmRyYSBCcnpvem93c2thajcKFHN1Z2dlc3QuZ2c5ZnB1dGJldXhsEh9Kb2FubmEgQWxla3NpxYRza2EtTWlrb8WCYWpjenlrciExVkp2NkUtRHJqdVV1dk5WY0xtWURaSTVxMFFPSTI2NDc=</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Pages>
  <Words>968</Words>
  <Characters>5814</Characters>
  <Application>Microsoft Office Word</Application>
  <DocSecurity>0</DocSecurity>
  <Lines>48</Lines>
  <Paragraphs>13</Paragraphs>
  <ScaleCrop>false</ScaleCrop>
  <HeadingPairs>
    <vt:vector size="2" baseType="variant">
      <vt:variant>
        <vt:lpstr>Tytuł</vt:lpstr>
      </vt:variant>
      <vt:variant>
        <vt:i4>1</vt:i4>
      </vt:variant>
    </vt:vector>
  </HeadingPairs>
  <TitlesOfParts>
    <vt:vector size="1" baseType="lpstr">
      <vt:lpstr/>
    </vt:vector>
  </TitlesOfParts>
  <Company>IBE PIB</Company>
  <LinksUpToDate>false</LinksUpToDate>
  <CharactersWithSpaces>6769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Załącznik 5g. Opis WSZJ w BCU</dc:title>
  <dc:subject>Wewnętrzny system zapewniania jakości</dc:subject>
  <dc:creator>s c</dc:creator>
  <cp:keywords>wewnętrzny system zapewniania jakości, ZSK, BCU</cp:keywords>
  <cp:lastModifiedBy>ibe-1141-055</cp:lastModifiedBy>
  <cp:revision>3</cp:revision>
  <dcterms:created xsi:type="dcterms:W3CDTF">2026-09-18T11:31:00Z</dcterms:created>
  <dcterms:modified xsi:type="dcterms:W3CDTF">2026-09-18T11:41:00Z</dcterms:modified>
  <cp:category>Załącznik</cp:category>
</cp:coreProperties>
</file>